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7323C" w14:textId="77777777" w:rsidR="00465448" w:rsidRPr="00025FCE" w:rsidRDefault="00105F40" w:rsidP="00025FCE">
      <w:pPr>
        <w:autoSpaceDE w:val="0"/>
        <w:autoSpaceDN w:val="0"/>
        <w:adjustRightInd w:val="0"/>
        <w:spacing w:before="120" w:after="120" w:line="290" w:lineRule="auto"/>
        <w:ind w:firstLine="720"/>
        <w:jc w:val="center"/>
        <w:rPr>
          <w:rFonts w:ascii="Arial" w:hAnsi="Arial" w:cs="Arial"/>
          <w:bCs/>
          <w:sz w:val="20"/>
          <w:szCs w:val="20"/>
          <w:lang w:val="ro-RO"/>
        </w:rPr>
      </w:pPr>
      <w:r>
        <w:rPr>
          <w:rFonts w:ascii="Arial" w:hAnsi="Arial" w:cs="Arial"/>
          <w:bCs/>
          <w:sz w:val="20"/>
          <w:szCs w:val="20"/>
          <w:lang w:val="ro-RO"/>
        </w:rPr>
        <w:t xml:space="preserve">A NU SE EMITE, PUBLICA </w:t>
      </w:r>
      <w:r w:rsidR="00025FCE">
        <w:rPr>
          <w:rFonts w:ascii="Arial" w:hAnsi="Arial" w:cs="Arial"/>
          <w:bCs/>
          <w:sz w:val="20"/>
          <w:szCs w:val="20"/>
          <w:lang w:val="ro-RO"/>
        </w:rPr>
        <w:t>SAU DISTRIBUI, DIRECT SAU INDIRECT, ÎN STATELE UNITE ALE AMERICII, AUSTRALIA</w:t>
      </w:r>
      <w:r>
        <w:rPr>
          <w:rFonts w:ascii="Arial" w:hAnsi="Arial" w:cs="Arial"/>
          <w:bCs/>
          <w:sz w:val="20"/>
          <w:szCs w:val="20"/>
          <w:lang w:val="ro-RO"/>
        </w:rPr>
        <w:t>,</w:t>
      </w:r>
      <w:r w:rsidR="00BA3364">
        <w:rPr>
          <w:rFonts w:ascii="Arial" w:hAnsi="Arial" w:cs="Arial"/>
          <w:bCs/>
          <w:sz w:val="20"/>
          <w:szCs w:val="20"/>
          <w:lang w:val="ro-RO"/>
        </w:rPr>
        <w:t xml:space="preserve"> CANADA, </w:t>
      </w:r>
      <w:r w:rsidR="00025FCE">
        <w:rPr>
          <w:rFonts w:ascii="Arial" w:hAnsi="Arial" w:cs="Arial"/>
          <w:bCs/>
          <w:sz w:val="20"/>
          <w:szCs w:val="20"/>
          <w:lang w:val="ro-RO"/>
        </w:rPr>
        <w:t>JAPONIA</w:t>
      </w:r>
      <w:r w:rsidR="00BA3364">
        <w:rPr>
          <w:rFonts w:ascii="Arial" w:hAnsi="Arial" w:cs="Arial"/>
          <w:bCs/>
          <w:sz w:val="20"/>
          <w:szCs w:val="20"/>
          <w:lang w:val="ro-RO"/>
        </w:rPr>
        <w:t>, NOUA ZEELANDĂ SAU AFRICA DE SUD</w:t>
      </w:r>
    </w:p>
    <w:p w14:paraId="0D8EDB80" w14:textId="77777777" w:rsidR="00F72F05" w:rsidRPr="00025FCE" w:rsidRDefault="00F72F05" w:rsidP="00C71184">
      <w:pPr>
        <w:autoSpaceDE w:val="0"/>
        <w:autoSpaceDN w:val="0"/>
        <w:adjustRightInd w:val="0"/>
        <w:spacing w:before="120" w:after="120" w:line="290" w:lineRule="auto"/>
        <w:jc w:val="both"/>
        <w:rPr>
          <w:rFonts w:ascii="Arial" w:hAnsi="Arial" w:cs="Arial"/>
          <w:bCs/>
          <w:sz w:val="20"/>
          <w:szCs w:val="20"/>
          <w:lang w:val="ro-RO"/>
        </w:rPr>
      </w:pPr>
    </w:p>
    <w:p w14:paraId="3C877DB7" w14:textId="77777777" w:rsidR="00C419E4" w:rsidRPr="00025FCE" w:rsidRDefault="00213287" w:rsidP="00C71184">
      <w:pPr>
        <w:autoSpaceDE w:val="0"/>
        <w:autoSpaceDN w:val="0"/>
        <w:adjustRightInd w:val="0"/>
        <w:spacing w:before="120" w:after="120" w:line="29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b/>
          <w:bCs/>
          <w:sz w:val="20"/>
          <w:szCs w:val="20"/>
          <w:lang w:val="ro-RO"/>
        </w:rPr>
        <w:t xml:space="preserve">Admiterea acțiunilor </w:t>
      </w:r>
      <w:r w:rsidR="00D60F93">
        <w:rPr>
          <w:rFonts w:ascii="Arial" w:hAnsi="Arial" w:cs="Arial"/>
          <w:b/>
          <w:bCs/>
          <w:sz w:val="20"/>
          <w:szCs w:val="20"/>
          <w:lang w:val="ro-RO"/>
        </w:rPr>
        <w:t xml:space="preserve">emise de </w:t>
      </w:r>
      <w:r w:rsidR="00BA3364">
        <w:rPr>
          <w:rFonts w:ascii="Arial" w:hAnsi="Arial" w:cs="Arial"/>
          <w:b/>
          <w:bCs/>
          <w:sz w:val="20"/>
          <w:szCs w:val="20"/>
          <w:lang w:val="ro-RO"/>
        </w:rPr>
        <w:t xml:space="preserve">Purcari </w:t>
      </w:r>
      <w:proofErr w:type="spellStart"/>
      <w:r w:rsidR="00BA3364">
        <w:rPr>
          <w:rFonts w:ascii="Arial" w:hAnsi="Arial" w:cs="Arial"/>
          <w:b/>
          <w:bCs/>
          <w:sz w:val="20"/>
          <w:szCs w:val="20"/>
          <w:lang w:val="ro-RO"/>
        </w:rPr>
        <w:t>Wineries</w:t>
      </w:r>
      <w:proofErr w:type="spellEnd"/>
      <w:r w:rsidR="00BA3364">
        <w:rPr>
          <w:rFonts w:ascii="Arial" w:hAnsi="Arial" w:cs="Arial"/>
          <w:b/>
          <w:bCs/>
          <w:sz w:val="20"/>
          <w:szCs w:val="20"/>
          <w:lang w:val="ro-RO"/>
        </w:rPr>
        <w:t xml:space="preserve"> Public Company Limited </w:t>
      </w:r>
      <w:r>
        <w:rPr>
          <w:rFonts w:ascii="Arial" w:hAnsi="Arial" w:cs="Arial"/>
          <w:b/>
          <w:bCs/>
          <w:sz w:val="20"/>
          <w:szCs w:val="20"/>
          <w:lang w:val="ro-RO"/>
        </w:rPr>
        <w:t>la tranzacționare pe piața reglementată la vedere administrată de Bursa de Valori București</w:t>
      </w:r>
    </w:p>
    <w:p w14:paraId="34EEA282" w14:textId="77777777" w:rsidR="00C419E4" w:rsidRPr="00025FCE" w:rsidRDefault="00C419E4" w:rsidP="00B73F97">
      <w:pPr>
        <w:autoSpaceDE w:val="0"/>
        <w:autoSpaceDN w:val="0"/>
        <w:adjustRightInd w:val="0"/>
        <w:spacing w:before="120" w:after="120" w:line="29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14:paraId="41DD2493" w14:textId="77777777" w:rsidR="00C71184" w:rsidRPr="00F2261D" w:rsidRDefault="00BA3364" w:rsidP="00C71184">
      <w:pPr>
        <w:autoSpaceDE w:val="0"/>
        <w:autoSpaceDN w:val="0"/>
        <w:adjustRightInd w:val="0"/>
        <w:spacing w:before="120" w:after="120" w:line="29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1</w:t>
      </w:r>
      <w:r w:rsidR="00D60F93">
        <w:rPr>
          <w:rFonts w:ascii="Arial" w:hAnsi="Arial" w:cs="Arial"/>
          <w:b/>
          <w:sz w:val="20"/>
          <w:szCs w:val="20"/>
          <w:lang w:val="ro-RO"/>
        </w:rPr>
        <w:t>4</w:t>
      </w:r>
      <w:r w:rsidR="00C71184" w:rsidRPr="00F2261D">
        <w:rPr>
          <w:rFonts w:ascii="Arial" w:hAnsi="Arial" w:cs="Arial"/>
          <w:b/>
          <w:sz w:val="20"/>
          <w:szCs w:val="20"/>
          <w:lang w:val="ro-RO"/>
        </w:rPr>
        <w:t xml:space="preserve"> </w:t>
      </w:r>
      <w:r>
        <w:rPr>
          <w:rFonts w:ascii="Arial" w:hAnsi="Arial" w:cs="Arial"/>
          <w:b/>
          <w:sz w:val="20"/>
          <w:szCs w:val="20"/>
          <w:lang w:val="ro-RO"/>
        </w:rPr>
        <w:t>februarie 2018</w:t>
      </w:r>
    </w:p>
    <w:p w14:paraId="5BD102F4" w14:textId="77777777" w:rsidR="00105F40" w:rsidRDefault="00105F40" w:rsidP="00B73F97">
      <w:pPr>
        <w:autoSpaceDE w:val="0"/>
        <w:autoSpaceDN w:val="0"/>
        <w:adjustRightInd w:val="0"/>
        <w:spacing w:before="120" w:after="120" w:line="29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14:paraId="7C6B2586" w14:textId="4B885565" w:rsidR="00213287" w:rsidRDefault="00BA3364" w:rsidP="00B73F97">
      <w:pPr>
        <w:autoSpaceDE w:val="0"/>
        <w:autoSpaceDN w:val="0"/>
        <w:adjustRightInd w:val="0"/>
        <w:spacing w:before="120" w:after="120" w:line="29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Purcari </w:t>
      </w:r>
      <w:proofErr w:type="spellStart"/>
      <w:r>
        <w:rPr>
          <w:rFonts w:ascii="Arial" w:hAnsi="Arial" w:cs="Arial"/>
          <w:sz w:val="20"/>
          <w:szCs w:val="20"/>
          <w:lang w:val="ro-RO"/>
        </w:rPr>
        <w:t>Wineries</w:t>
      </w:r>
      <w:proofErr w:type="spellEnd"/>
      <w:r>
        <w:rPr>
          <w:rFonts w:ascii="Arial" w:hAnsi="Arial" w:cs="Arial"/>
          <w:sz w:val="20"/>
          <w:szCs w:val="20"/>
          <w:lang w:val="ro-RO"/>
        </w:rPr>
        <w:t xml:space="preserve"> Public Company Limited (</w:t>
      </w:r>
      <w:r w:rsidR="00DA36A4">
        <w:rPr>
          <w:rFonts w:ascii="Arial" w:hAnsi="Arial" w:cs="Arial"/>
          <w:sz w:val="20"/>
          <w:szCs w:val="20"/>
          <w:lang w:val="ro-RO"/>
        </w:rPr>
        <w:t>„</w:t>
      </w:r>
      <w:r w:rsidR="00025FCE">
        <w:rPr>
          <w:rFonts w:ascii="Arial" w:hAnsi="Arial" w:cs="Arial"/>
          <w:b/>
          <w:sz w:val="20"/>
          <w:szCs w:val="20"/>
          <w:lang w:val="ro-RO"/>
        </w:rPr>
        <w:t>Societatea</w:t>
      </w:r>
      <w:r w:rsidR="00D41ACE" w:rsidRPr="00025FCE">
        <w:rPr>
          <w:rFonts w:ascii="Arial" w:hAnsi="Arial" w:cs="Arial"/>
          <w:sz w:val="20"/>
          <w:szCs w:val="20"/>
          <w:lang w:val="ro-RO"/>
        </w:rPr>
        <w:t>")</w:t>
      </w:r>
      <w:r w:rsidR="00AA21C5" w:rsidRPr="00025FCE">
        <w:rPr>
          <w:rFonts w:ascii="Arial" w:hAnsi="Arial" w:cs="Arial"/>
          <w:sz w:val="20"/>
          <w:szCs w:val="20"/>
          <w:lang w:val="ro-RO"/>
        </w:rPr>
        <w:t xml:space="preserve"> </w:t>
      </w:r>
      <w:proofErr w:type="spellStart"/>
      <w:r w:rsidR="00025FCE">
        <w:rPr>
          <w:rFonts w:ascii="Arial" w:hAnsi="Arial" w:cs="Arial"/>
          <w:sz w:val="20"/>
          <w:szCs w:val="20"/>
          <w:lang w:val="ro-RO"/>
        </w:rPr>
        <w:t>anunţă</w:t>
      </w:r>
      <w:proofErr w:type="spellEnd"/>
      <w:r w:rsidR="00025FCE">
        <w:rPr>
          <w:rFonts w:ascii="Arial" w:hAnsi="Arial" w:cs="Arial"/>
          <w:sz w:val="20"/>
          <w:szCs w:val="20"/>
          <w:lang w:val="ro-RO"/>
        </w:rPr>
        <w:t xml:space="preserve"> </w:t>
      </w:r>
      <w:r w:rsidR="004C19F2">
        <w:rPr>
          <w:rFonts w:ascii="Arial" w:hAnsi="Arial" w:cs="Arial"/>
          <w:sz w:val="20"/>
          <w:szCs w:val="20"/>
          <w:lang w:val="ro-RO"/>
        </w:rPr>
        <w:t xml:space="preserve">că </w:t>
      </w:r>
      <w:r w:rsidR="00A45E7D">
        <w:rPr>
          <w:rFonts w:ascii="Arial" w:hAnsi="Arial" w:cs="Arial"/>
          <w:sz w:val="20"/>
          <w:szCs w:val="20"/>
          <w:lang w:val="ro-RO"/>
        </w:rPr>
        <w:t>Bursa de Valori București</w:t>
      </w:r>
      <w:r w:rsidR="000477A0" w:rsidRPr="000477A0">
        <w:rPr>
          <w:rFonts w:ascii="Arial" w:hAnsi="Arial" w:cs="Arial"/>
          <w:sz w:val="20"/>
          <w:szCs w:val="20"/>
          <w:lang w:val="ro-RO"/>
        </w:rPr>
        <w:t xml:space="preserve"> </w:t>
      </w:r>
      <w:r w:rsidR="000477A0">
        <w:rPr>
          <w:rFonts w:ascii="Arial" w:hAnsi="Arial" w:cs="Arial"/>
          <w:sz w:val="20"/>
          <w:szCs w:val="20"/>
          <w:lang w:val="ro-RO"/>
        </w:rPr>
        <w:t>S.A.</w:t>
      </w:r>
      <w:r w:rsidR="00DA36A4" w:rsidRPr="00DA36A4">
        <w:rPr>
          <w:rFonts w:ascii="Arial" w:hAnsi="Arial" w:cs="Arial"/>
          <w:sz w:val="20"/>
          <w:szCs w:val="20"/>
          <w:lang w:val="ro-RO"/>
        </w:rPr>
        <w:t xml:space="preserve"> („</w:t>
      </w:r>
      <w:r w:rsidR="00DA36A4" w:rsidRPr="00DA36A4">
        <w:rPr>
          <w:rFonts w:ascii="Arial" w:hAnsi="Arial" w:cs="Arial"/>
          <w:b/>
          <w:sz w:val="20"/>
          <w:szCs w:val="20"/>
          <w:lang w:val="ro-RO"/>
        </w:rPr>
        <w:t>BVB</w:t>
      </w:r>
      <w:r w:rsidR="00DA36A4" w:rsidRPr="00DA36A4">
        <w:rPr>
          <w:rFonts w:ascii="Arial" w:hAnsi="Arial" w:cs="Arial"/>
          <w:sz w:val="20"/>
          <w:szCs w:val="20"/>
          <w:lang w:val="ro-RO"/>
        </w:rPr>
        <w:t>")</w:t>
      </w:r>
      <w:r w:rsidR="000477A0">
        <w:rPr>
          <w:rFonts w:ascii="Arial" w:hAnsi="Arial" w:cs="Arial"/>
          <w:sz w:val="20"/>
          <w:szCs w:val="20"/>
          <w:lang w:val="ro-RO"/>
        </w:rPr>
        <w:t>, în calitate de operator al pieței reglementate</w:t>
      </w:r>
      <w:r w:rsidR="00DA36A4">
        <w:rPr>
          <w:rFonts w:ascii="Arial" w:hAnsi="Arial" w:cs="Arial"/>
          <w:sz w:val="20"/>
          <w:szCs w:val="20"/>
          <w:lang w:val="ro-RO"/>
        </w:rPr>
        <w:t>,</w:t>
      </w:r>
      <w:r w:rsidR="00A45E7D">
        <w:rPr>
          <w:rFonts w:ascii="Arial" w:hAnsi="Arial" w:cs="Arial"/>
          <w:sz w:val="20"/>
          <w:szCs w:val="20"/>
          <w:lang w:val="ro-RO"/>
        </w:rPr>
        <w:t xml:space="preserve"> a aprobat cererea </w:t>
      </w:r>
      <w:r w:rsidR="00A65223">
        <w:rPr>
          <w:rFonts w:ascii="Arial" w:hAnsi="Arial" w:cs="Arial"/>
          <w:sz w:val="20"/>
          <w:szCs w:val="20"/>
          <w:lang w:val="ro-RO"/>
        </w:rPr>
        <w:t xml:space="preserve">Societății </w:t>
      </w:r>
      <w:r w:rsidR="00A45E7D">
        <w:rPr>
          <w:rFonts w:ascii="Arial" w:hAnsi="Arial" w:cs="Arial"/>
          <w:sz w:val="20"/>
          <w:szCs w:val="20"/>
          <w:lang w:val="ro-RO"/>
        </w:rPr>
        <w:t>de admitere la tranzacționare a acțiunilor emise de Societate</w:t>
      </w:r>
      <w:r w:rsidR="000477A0">
        <w:rPr>
          <w:rFonts w:ascii="Arial" w:hAnsi="Arial" w:cs="Arial"/>
          <w:sz w:val="20"/>
          <w:szCs w:val="20"/>
          <w:lang w:val="ro-RO"/>
        </w:rPr>
        <w:t xml:space="preserve"> pe </w:t>
      </w:r>
      <w:r w:rsidR="00A65223">
        <w:rPr>
          <w:rFonts w:ascii="Arial" w:hAnsi="Arial" w:cs="Arial"/>
          <w:sz w:val="20"/>
          <w:szCs w:val="20"/>
          <w:lang w:val="ro-RO"/>
        </w:rPr>
        <w:t>piața reglementată la vedere a</w:t>
      </w:r>
      <w:r w:rsidR="00670D58">
        <w:rPr>
          <w:rFonts w:ascii="Arial" w:hAnsi="Arial" w:cs="Arial"/>
          <w:sz w:val="20"/>
          <w:szCs w:val="20"/>
          <w:lang w:val="ro-RO"/>
        </w:rPr>
        <w:t>dministrată de</w:t>
      </w:r>
      <w:r w:rsidR="00A65223">
        <w:rPr>
          <w:rFonts w:ascii="Arial" w:hAnsi="Arial" w:cs="Arial"/>
          <w:sz w:val="20"/>
          <w:szCs w:val="20"/>
          <w:lang w:val="ro-RO"/>
        </w:rPr>
        <w:t xml:space="preserve"> BVB</w:t>
      </w:r>
      <w:r w:rsidR="00A45E7D">
        <w:rPr>
          <w:rFonts w:ascii="Arial" w:hAnsi="Arial" w:cs="Arial"/>
          <w:sz w:val="20"/>
          <w:szCs w:val="20"/>
          <w:lang w:val="ro-RO"/>
        </w:rPr>
        <w:t>,</w:t>
      </w:r>
      <w:r w:rsidR="00A65223">
        <w:rPr>
          <w:rFonts w:ascii="Arial" w:hAnsi="Arial" w:cs="Arial"/>
          <w:sz w:val="20"/>
          <w:szCs w:val="20"/>
          <w:lang w:val="ro-RO"/>
        </w:rPr>
        <w:t xml:space="preserve"> </w:t>
      </w:r>
      <w:r w:rsidR="00CD2FF6">
        <w:rPr>
          <w:rFonts w:ascii="Arial" w:hAnsi="Arial" w:cs="Arial"/>
          <w:sz w:val="20"/>
          <w:szCs w:val="20"/>
          <w:lang w:val="ro-RO"/>
        </w:rPr>
        <w:t>„C</w:t>
      </w:r>
      <w:r w:rsidR="00A65223">
        <w:rPr>
          <w:rFonts w:ascii="Arial" w:hAnsi="Arial" w:cs="Arial"/>
          <w:sz w:val="20"/>
          <w:szCs w:val="20"/>
          <w:lang w:val="ro-RO"/>
        </w:rPr>
        <w:t xml:space="preserve">ategoria </w:t>
      </w:r>
      <w:r>
        <w:rPr>
          <w:rFonts w:ascii="Arial" w:hAnsi="Arial" w:cs="Arial"/>
          <w:sz w:val="20"/>
          <w:szCs w:val="20"/>
          <w:lang w:val="ro-RO"/>
        </w:rPr>
        <w:t xml:space="preserve">Internațională </w:t>
      </w:r>
      <w:r w:rsidR="00CD2FF6">
        <w:rPr>
          <w:rFonts w:ascii="Arial" w:hAnsi="Arial" w:cs="Arial"/>
          <w:sz w:val="20"/>
          <w:szCs w:val="20"/>
          <w:lang w:val="ro-RO"/>
        </w:rPr>
        <w:t>a</w:t>
      </w:r>
      <w:r>
        <w:rPr>
          <w:rFonts w:ascii="Arial" w:hAnsi="Arial" w:cs="Arial"/>
          <w:sz w:val="20"/>
          <w:szCs w:val="20"/>
          <w:lang w:val="ro-RO"/>
        </w:rPr>
        <w:t>cțiuni</w:t>
      </w:r>
      <w:r w:rsidR="00DA36A4">
        <w:rPr>
          <w:rFonts w:ascii="Arial" w:hAnsi="Arial" w:cs="Arial"/>
          <w:sz w:val="20"/>
          <w:szCs w:val="20"/>
          <w:lang w:val="ro-RO"/>
        </w:rPr>
        <w:t>", sub simbolul de piață „</w:t>
      </w:r>
      <w:r>
        <w:rPr>
          <w:rFonts w:ascii="Arial" w:hAnsi="Arial" w:cs="Arial"/>
          <w:b/>
          <w:sz w:val="20"/>
          <w:szCs w:val="20"/>
          <w:lang w:val="ro-RO"/>
        </w:rPr>
        <w:t>WINE</w:t>
      </w:r>
      <w:r w:rsidR="004443AB">
        <w:rPr>
          <w:rFonts w:ascii="Arial" w:hAnsi="Arial" w:cs="Arial"/>
          <w:sz w:val="20"/>
          <w:szCs w:val="20"/>
          <w:lang w:val="ro-RO"/>
        </w:rPr>
        <w:t>". Prima zi de</w:t>
      </w:r>
      <w:r w:rsidR="00A45E7D">
        <w:rPr>
          <w:rFonts w:ascii="Arial" w:hAnsi="Arial" w:cs="Arial"/>
          <w:sz w:val="20"/>
          <w:szCs w:val="20"/>
          <w:lang w:val="ro-RO"/>
        </w:rPr>
        <w:t xml:space="preserve"> tranzacționare</w:t>
      </w:r>
      <w:r w:rsidR="004443AB">
        <w:rPr>
          <w:rFonts w:ascii="Arial" w:hAnsi="Arial" w:cs="Arial"/>
          <w:sz w:val="20"/>
          <w:szCs w:val="20"/>
          <w:lang w:val="ro-RO"/>
        </w:rPr>
        <w:t xml:space="preserve"> a acțiunilor emise de Societate </w:t>
      </w:r>
      <w:r w:rsidR="00DF3828">
        <w:rPr>
          <w:rFonts w:ascii="Arial" w:hAnsi="Arial" w:cs="Arial"/>
          <w:sz w:val="20"/>
          <w:szCs w:val="20"/>
          <w:lang w:val="ro-RO"/>
        </w:rPr>
        <w:t>este</w:t>
      </w:r>
      <w:bookmarkStart w:id="0" w:name="_GoBack"/>
      <w:bookmarkEnd w:id="0"/>
      <w:r w:rsidR="000F240D">
        <w:rPr>
          <w:rFonts w:ascii="Arial" w:hAnsi="Arial" w:cs="Arial"/>
          <w:sz w:val="20"/>
          <w:szCs w:val="20"/>
          <w:lang w:val="ro-RO"/>
        </w:rPr>
        <w:t xml:space="preserve"> </w:t>
      </w:r>
      <w:r>
        <w:rPr>
          <w:rFonts w:ascii="Arial" w:hAnsi="Arial" w:cs="Arial"/>
          <w:sz w:val="20"/>
          <w:szCs w:val="20"/>
          <w:lang w:val="ro-RO"/>
        </w:rPr>
        <w:t>1</w:t>
      </w:r>
      <w:r w:rsidR="00D60F93">
        <w:rPr>
          <w:rFonts w:ascii="Arial" w:hAnsi="Arial" w:cs="Arial"/>
          <w:sz w:val="20"/>
          <w:szCs w:val="20"/>
          <w:lang w:val="ro-RO"/>
        </w:rPr>
        <w:t>5</w:t>
      </w:r>
      <w:r>
        <w:rPr>
          <w:rFonts w:ascii="Arial" w:hAnsi="Arial" w:cs="Arial"/>
          <w:sz w:val="20"/>
          <w:szCs w:val="20"/>
          <w:lang w:val="ro-RO"/>
        </w:rPr>
        <w:t xml:space="preserve"> februarie 2018</w:t>
      </w:r>
      <w:r w:rsidR="00A45E7D">
        <w:rPr>
          <w:rFonts w:ascii="Arial" w:hAnsi="Arial" w:cs="Arial"/>
          <w:sz w:val="20"/>
          <w:szCs w:val="20"/>
          <w:lang w:val="ro-RO"/>
        </w:rPr>
        <w:t>.</w:t>
      </w:r>
    </w:p>
    <w:p w14:paraId="358B928C" w14:textId="77777777" w:rsidR="004443AB" w:rsidRDefault="004443AB" w:rsidP="00B73F97">
      <w:pPr>
        <w:autoSpaceDE w:val="0"/>
        <w:autoSpaceDN w:val="0"/>
        <w:adjustRightInd w:val="0"/>
        <w:spacing w:before="120" w:after="120" w:line="29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Admiterea la tranzacționare a acțiunilor are loc ca urmare a închiderii cu succes a ofertei publice inițiale </w:t>
      </w:r>
      <w:r w:rsidR="00550F71">
        <w:rPr>
          <w:rFonts w:ascii="Arial" w:hAnsi="Arial" w:cs="Arial"/>
          <w:sz w:val="20"/>
          <w:szCs w:val="20"/>
          <w:lang w:val="ro-RO"/>
        </w:rPr>
        <w:t>secundare de vânzare</w:t>
      </w:r>
      <w:r w:rsidR="00DD54F6">
        <w:rPr>
          <w:rFonts w:ascii="Arial" w:hAnsi="Arial" w:cs="Arial"/>
          <w:sz w:val="20"/>
          <w:szCs w:val="20"/>
          <w:lang w:val="ro-RO"/>
        </w:rPr>
        <w:t xml:space="preserve"> a unui număr de 9.</w:t>
      </w:r>
      <w:r w:rsidR="00BA3364">
        <w:rPr>
          <w:rFonts w:ascii="Arial" w:hAnsi="Arial" w:cs="Arial"/>
          <w:sz w:val="20"/>
          <w:szCs w:val="20"/>
          <w:lang w:val="ro-RO"/>
        </w:rPr>
        <w:t>800.000</w:t>
      </w:r>
      <w:r w:rsidR="00DD54F6" w:rsidRPr="008D6C09">
        <w:rPr>
          <w:rFonts w:ascii="Arial" w:hAnsi="Arial" w:cs="Arial"/>
          <w:sz w:val="20"/>
          <w:szCs w:val="20"/>
          <w:lang w:val="ro-RO"/>
        </w:rPr>
        <w:t xml:space="preserve"> acțiuni</w:t>
      </w:r>
      <w:r w:rsidR="00F83725">
        <w:rPr>
          <w:rFonts w:ascii="Arial" w:hAnsi="Arial" w:cs="Arial"/>
          <w:sz w:val="20"/>
          <w:szCs w:val="20"/>
          <w:lang w:val="ro-RO"/>
        </w:rPr>
        <w:t>,</w:t>
      </w:r>
      <w:r w:rsidR="00DD54F6">
        <w:rPr>
          <w:rFonts w:ascii="Arial" w:hAnsi="Arial" w:cs="Arial"/>
          <w:sz w:val="20"/>
          <w:szCs w:val="20"/>
          <w:lang w:val="ro-RO"/>
        </w:rPr>
        <w:t xml:space="preserve"> </w:t>
      </w:r>
      <w:r>
        <w:rPr>
          <w:rFonts w:ascii="Arial" w:hAnsi="Arial" w:cs="Arial"/>
          <w:sz w:val="20"/>
          <w:szCs w:val="20"/>
          <w:lang w:val="ro-RO"/>
        </w:rPr>
        <w:t xml:space="preserve">derulate </w:t>
      </w:r>
      <w:r w:rsidR="00BA3364">
        <w:rPr>
          <w:rFonts w:ascii="Arial" w:hAnsi="Arial" w:cs="Arial"/>
          <w:sz w:val="20"/>
          <w:szCs w:val="20"/>
          <w:lang w:val="ro-RO"/>
        </w:rPr>
        <w:t>în perioada 29 ianuarie 2018 - 8</w:t>
      </w:r>
      <w:r w:rsidR="00DA36A4">
        <w:rPr>
          <w:rFonts w:ascii="Arial" w:hAnsi="Arial" w:cs="Arial"/>
          <w:sz w:val="20"/>
          <w:szCs w:val="20"/>
          <w:lang w:val="ro-RO"/>
        </w:rPr>
        <w:t xml:space="preserve"> februarie 2018</w:t>
      </w:r>
      <w:r w:rsidR="00F83725">
        <w:rPr>
          <w:rFonts w:ascii="Arial" w:hAnsi="Arial" w:cs="Arial"/>
          <w:sz w:val="20"/>
          <w:szCs w:val="20"/>
          <w:lang w:val="ro-RO"/>
        </w:rPr>
        <w:t>,</w:t>
      </w:r>
      <w:r w:rsidR="00670D58">
        <w:rPr>
          <w:rFonts w:ascii="Arial" w:hAnsi="Arial" w:cs="Arial"/>
          <w:sz w:val="20"/>
          <w:szCs w:val="20"/>
          <w:lang w:val="ro-RO"/>
        </w:rPr>
        <w:t xml:space="preserve"> </w:t>
      </w:r>
      <w:r>
        <w:rPr>
          <w:rFonts w:ascii="Arial" w:hAnsi="Arial" w:cs="Arial"/>
          <w:sz w:val="20"/>
          <w:szCs w:val="20"/>
          <w:lang w:val="ro-RO"/>
        </w:rPr>
        <w:t>de către</w:t>
      </w:r>
      <w:r w:rsidR="00D8043A">
        <w:rPr>
          <w:rFonts w:ascii="Arial" w:hAnsi="Arial" w:cs="Arial"/>
          <w:sz w:val="20"/>
          <w:szCs w:val="20"/>
          <w:lang w:val="ro-RO"/>
        </w:rPr>
        <w:t xml:space="preserve"> </w:t>
      </w:r>
      <w:proofErr w:type="spellStart"/>
      <w:r w:rsidR="00BA3364">
        <w:rPr>
          <w:rFonts w:ascii="Arial" w:hAnsi="Arial" w:cs="Arial"/>
          <w:sz w:val="20"/>
          <w:szCs w:val="20"/>
          <w:lang w:val="ro-RO"/>
        </w:rPr>
        <w:t>Lorimer</w:t>
      </w:r>
      <w:proofErr w:type="spellEnd"/>
      <w:r w:rsidR="00BA3364">
        <w:rPr>
          <w:rFonts w:ascii="Arial" w:hAnsi="Arial" w:cs="Arial"/>
          <w:sz w:val="20"/>
          <w:szCs w:val="20"/>
          <w:lang w:val="ro-RO"/>
        </w:rPr>
        <w:t xml:space="preserve"> </w:t>
      </w:r>
      <w:proofErr w:type="spellStart"/>
      <w:r w:rsidR="00BA3364">
        <w:rPr>
          <w:rFonts w:ascii="Arial" w:hAnsi="Arial" w:cs="Arial"/>
          <w:sz w:val="20"/>
          <w:szCs w:val="20"/>
          <w:lang w:val="ro-RO"/>
        </w:rPr>
        <w:t>Ventures</w:t>
      </w:r>
      <w:proofErr w:type="spellEnd"/>
      <w:r w:rsidR="00BA3364">
        <w:rPr>
          <w:rFonts w:ascii="Arial" w:hAnsi="Arial" w:cs="Arial"/>
          <w:sz w:val="20"/>
          <w:szCs w:val="20"/>
          <w:lang w:val="ro-RO"/>
        </w:rPr>
        <w:t xml:space="preserve"> Limited, </w:t>
      </w:r>
      <w:proofErr w:type="spellStart"/>
      <w:r w:rsidR="00BA3364">
        <w:rPr>
          <w:rFonts w:ascii="Arial" w:hAnsi="Arial" w:cs="Arial"/>
          <w:sz w:val="20"/>
          <w:szCs w:val="20"/>
          <w:lang w:val="ro-RO"/>
        </w:rPr>
        <w:t>Amboselt</w:t>
      </w:r>
      <w:proofErr w:type="spellEnd"/>
      <w:r w:rsidR="00BA3364">
        <w:rPr>
          <w:rFonts w:ascii="Arial" w:hAnsi="Arial" w:cs="Arial"/>
          <w:sz w:val="20"/>
          <w:szCs w:val="20"/>
          <w:lang w:val="ro-RO"/>
        </w:rPr>
        <w:t xml:space="preserve"> Universal Inc. și </w:t>
      </w:r>
      <w:r w:rsidR="00B37E14">
        <w:rPr>
          <w:rFonts w:ascii="Arial" w:hAnsi="Arial" w:cs="Arial"/>
          <w:sz w:val="20"/>
          <w:szCs w:val="20"/>
          <w:lang w:val="ro-RO"/>
        </w:rPr>
        <w:t xml:space="preserve">International </w:t>
      </w:r>
      <w:proofErr w:type="spellStart"/>
      <w:r w:rsidR="00B37E14">
        <w:rPr>
          <w:rFonts w:ascii="Arial" w:hAnsi="Arial" w:cs="Arial"/>
          <w:sz w:val="20"/>
          <w:szCs w:val="20"/>
          <w:lang w:val="ro-RO"/>
        </w:rPr>
        <w:t>Finance</w:t>
      </w:r>
      <w:proofErr w:type="spellEnd"/>
      <w:r w:rsidR="00B37E14">
        <w:rPr>
          <w:rFonts w:ascii="Arial" w:hAnsi="Arial" w:cs="Arial"/>
          <w:sz w:val="20"/>
          <w:szCs w:val="20"/>
          <w:lang w:val="ro-RO"/>
        </w:rPr>
        <w:t xml:space="preserve"> Corporation</w:t>
      </w:r>
      <w:r w:rsidR="00CD2FF6">
        <w:rPr>
          <w:rFonts w:ascii="Arial" w:hAnsi="Arial" w:cs="Arial"/>
          <w:sz w:val="20"/>
          <w:szCs w:val="20"/>
          <w:lang w:val="ro-RO"/>
        </w:rPr>
        <w:t>,</w:t>
      </w:r>
      <w:r w:rsidR="000F240D">
        <w:rPr>
          <w:rFonts w:ascii="Arial" w:hAnsi="Arial" w:cs="Arial"/>
          <w:sz w:val="20"/>
          <w:szCs w:val="20"/>
          <w:lang w:val="ro-RO"/>
        </w:rPr>
        <w:t xml:space="preserve"> ca acționari ai Societății</w:t>
      </w:r>
      <w:r w:rsidR="00DC6803">
        <w:rPr>
          <w:rFonts w:ascii="Arial" w:hAnsi="Arial" w:cs="Arial"/>
          <w:sz w:val="20"/>
          <w:szCs w:val="20"/>
          <w:lang w:val="ro-RO"/>
        </w:rPr>
        <w:t>, în baza prospectului de ofertă publică</w:t>
      </w:r>
      <w:r w:rsidR="00DA36A4">
        <w:rPr>
          <w:rFonts w:ascii="Arial" w:hAnsi="Arial" w:cs="Arial"/>
          <w:sz w:val="20"/>
          <w:szCs w:val="20"/>
          <w:lang w:val="ro-RO"/>
        </w:rPr>
        <w:t xml:space="preserve"> („</w:t>
      </w:r>
      <w:r w:rsidR="00B37E14" w:rsidRPr="00DA36A4">
        <w:rPr>
          <w:rFonts w:ascii="Arial" w:hAnsi="Arial" w:cs="Arial"/>
          <w:b/>
          <w:sz w:val="20"/>
          <w:szCs w:val="20"/>
          <w:lang w:val="ro-RO"/>
        </w:rPr>
        <w:t>Prospectul</w:t>
      </w:r>
      <w:r w:rsidR="00B37E14">
        <w:rPr>
          <w:rFonts w:ascii="Arial" w:hAnsi="Arial" w:cs="Arial"/>
          <w:sz w:val="20"/>
          <w:szCs w:val="20"/>
          <w:lang w:val="ro-RO"/>
        </w:rPr>
        <w:t>”)</w:t>
      </w:r>
      <w:r w:rsidR="00DC6803">
        <w:rPr>
          <w:rFonts w:ascii="Arial" w:hAnsi="Arial" w:cs="Arial"/>
          <w:sz w:val="20"/>
          <w:szCs w:val="20"/>
          <w:lang w:val="ro-RO"/>
        </w:rPr>
        <w:t xml:space="preserve"> aprobat de Autoritatea de Supraveghere Financiară prin decizia nr. </w:t>
      </w:r>
      <w:r w:rsidR="00B37E14">
        <w:rPr>
          <w:rFonts w:ascii="Arial" w:hAnsi="Arial" w:cs="Arial"/>
          <w:sz w:val="20"/>
          <w:szCs w:val="20"/>
          <w:lang w:val="ro-RO"/>
        </w:rPr>
        <w:t>132 din 26 ianuarie 2018</w:t>
      </w:r>
      <w:r w:rsidR="00D022D0">
        <w:rPr>
          <w:rFonts w:ascii="Arial" w:hAnsi="Arial" w:cs="Arial"/>
          <w:sz w:val="20"/>
          <w:szCs w:val="20"/>
          <w:lang w:val="ro-RO"/>
        </w:rPr>
        <w:t>.</w:t>
      </w:r>
      <w:r w:rsidR="00DC6803">
        <w:rPr>
          <w:rFonts w:ascii="Arial" w:hAnsi="Arial" w:cs="Arial"/>
          <w:sz w:val="20"/>
          <w:szCs w:val="20"/>
          <w:lang w:val="ro-RO"/>
        </w:rPr>
        <w:t xml:space="preserve"> </w:t>
      </w:r>
    </w:p>
    <w:p w14:paraId="4681CAEB" w14:textId="77777777" w:rsidR="00DA36A4" w:rsidRDefault="00DA36A4" w:rsidP="00B73F97">
      <w:pPr>
        <w:autoSpaceDE w:val="0"/>
        <w:autoSpaceDN w:val="0"/>
        <w:adjustRightInd w:val="0"/>
        <w:spacing w:before="120" w:after="120" w:line="29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 </w:t>
      </w:r>
    </w:p>
    <w:p w14:paraId="7C526CD6" w14:textId="77777777" w:rsidR="00C419E4" w:rsidRDefault="00EA5972" w:rsidP="00B73F97">
      <w:pPr>
        <w:autoSpaceDE w:val="0"/>
        <w:autoSpaceDN w:val="0"/>
        <w:spacing w:before="120" w:after="120" w:line="29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Prospectul </w:t>
      </w:r>
      <w:proofErr w:type="spellStart"/>
      <w:r>
        <w:rPr>
          <w:rFonts w:ascii="Arial" w:hAnsi="Arial" w:cs="Arial"/>
          <w:sz w:val="20"/>
          <w:szCs w:val="20"/>
          <w:lang w:val="ro-RO"/>
        </w:rPr>
        <w:t>şi</w:t>
      </w:r>
      <w:proofErr w:type="spellEnd"/>
      <w:r>
        <w:rPr>
          <w:rFonts w:ascii="Arial" w:hAnsi="Arial" w:cs="Arial"/>
          <w:sz w:val="20"/>
          <w:szCs w:val="20"/>
          <w:lang w:val="ro-RO"/>
        </w:rPr>
        <w:t xml:space="preserve"> documentele aferente sunt disponibile pe pagina de internet a</w:t>
      </w:r>
      <w:r w:rsidR="00B37E14">
        <w:rPr>
          <w:rFonts w:ascii="Arial" w:hAnsi="Arial" w:cs="Arial"/>
          <w:sz w:val="20"/>
          <w:szCs w:val="20"/>
          <w:lang w:val="ro-RO"/>
        </w:rPr>
        <w:t xml:space="preserve"> Purcari </w:t>
      </w:r>
      <w:proofErr w:type="spellStart"/>
      <w:r w:rsidR="00B37E14">
        <w:rPr>
          <w:rFonts w:ascii="Arial" w:hAnsi="Arial" w:cs="Arial"/>
          <w:sz w:val="20"/>
          <w:szCs w:val="20"/>
          <w:lang w:val="ro-RO"/>
        </w:rPr>
        <w:t>Wineries</w:t>
      </w:r>
      <w:proofErr w:type="spellEnd"/>
      <w:r w:rsidR="00B37E14">
        <w:rPr>
          <w:rFonts w:ascii="Arial" w:hAnsi="Arial" w:cs="Arial"/>
          <w:sz w:val="20"/>
          <w:szCs w:val="20"/>
          <w:lang w:val="ro-RO"/>
        </w:rPr>
        <w:t xml:space="preserve"> Public Company Limited</w:t>
      </w:r>
      <w:r>
        <w:rPr>
          <w:rFonts w:ascii="Arial" w:hAnsi="Arial" w:cs="Arial"/>
          <w:sz w:val="20"/>
          <w:szCs w:val="20"/>
          <w:lang w:val="ro-RO"/>
        </w:rPr>
        <w:t xml:space="preserve"> la </w:t>
      </w:r>
      <w:hyperlink r:id="rId8" w:history="1">
        <w:r w:rsidR="00B37E14" w:rsidRPr="00B37E14">
          <w:rPr>
            <w:rStyle w:val="Hyperlink"/>
            <w:rFonts w:ascii="Arial" w:hAnsi="Arial" w:cs="Arial"/>
            <w:sz w:val="20"/>
            <w:szCs w:val="20"/>
            <w:lang w:val="en-GB"/>
          </w:rPr>
          <w:t>www.purcari.wine</w:t>
        </w:r>
      </w:hyperlink>
      <w:r w:rsidR="00B37E14" w:rsidRPr="00B37E14">
        <w:rPr>
          <w:rFonts w:ascii="Arial" w:hAnsi="Arial" w:cs="Arial"/>
          <w:sz w:val="20"/>
          <w:szCs w:val="20"/>
          <w:lang w:val="en-GB"/>
        </w:rPr>
        <w:t>.</w:t>
      </w:r>
    </w:p>
    <w:p w14:paraId="01265B49" w14:textId="77777777" w:rsidR="003C1DC3" w:rsidRDefault="003C1DC3" w:rsidP="00B73F97">
      <w:pPr>
        <w:autoSpaceDE w:val="0"/>
        <w:autoSpaceDN w:val="0"/>
        <w:spacing w:before="120" w:after="120" w:line="29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14:paraId="3788B7A4" w14:textId="59C3AEC5" w:rsidR="006279E9" w:rsidRPr="00025FCE" w:rsidRDefault="006279E9" w:rsidP="00B73F97">
      <w:pPr>
        <w:spacing w:before="120" w:after="120" w:line="29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V</w:t>
      </w:r>
      <w:r w:rsidRPr="006279E9">
        <w:rPr>
          <w:rFonts w:ascii="Arial" w:hAnsi="Arial" w:cs="Arial"/>
          <w:i/>
          <w:sz w:val="20"/>
          <w:szCs w:val="20"/>
          <w:lang w:val="ro-RO"/>
        </w:rPr>
        <w:t>iza de aprobare aplicată prospect</w:t>
      </w:r>
      <w:r>
        <w:rPr>
          <w:rFonts w:ascii="Arial" w:hAnsi="Arial" w:cs="Arial"/>
          <w:i/>
          <w:sz w:val="20"/>
          <w:szCs w:val="20"/>
          <w:lang w:val="ro-RO"/>
        </w:rPr>
        <w:t>ului de ofertă</w:t>
      </w:r>
      <w:r w:rsidRPr="006279E9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="00AA346E">
        <w:rPr>
          <w:rFonts w:ascii="Arial" w:hAnsi="Arial" w:cs="Arial"/>
          <w:i/>
          <w:sz w:val="20"/>
          <w:szCs w:val="20"/>
          <w:lang w:val="ro-RO"/>
        </w:rPr>
        <w:t xml:space="preserve">publică </w:t>
      </w:r>
      <w:r w:rsidRPr="006279E9">
        <w:rPr>
          <w:rFonts w:ascii="Arial" w:hAnsi="Arial" w:cs="Arial"/>
          <w:i/>
          <w:sz w:val="20"/>
          <w:szCs w:val="20"/>
          <w:lang w:val="ro-RO"/>
        </w:rPr>
        <w:t xml:space="preserve">nu constituie o garanție sau o altă formă de apreciere de către </w:t>
      </w:r>
      <w:r>
        <w:rPr>
          <w:rFonts w:ascii="Arial" w:hAnsi="Arial" w:cs="Arial"/>
          <w:i/>
          <w:sz w:val="20"/>
          <w:szCs w:val="20"/>
          <w:lang w:val="ro-RO"/>
        </w:rPr>
        <w:t>A</w:t>
      </w:r>
      <w:r w:rsidRPr="006279E9">
        <w:rPr>
          <w:rFonts w:ascii="Arial" w:hAnsi="Arial" w:cs="Arial"/>
          <w:i/>
          <w:sz w:val="20"/>
          <w:szCs w:val="20"/>
          <w:lang w:val="ro-RO"/>
        </w:rPr>
        <w:t xml:space="preserve">utoritatea de </w:t>
      </w:r>
      <w:r>
        <w:rPr>
          <w:rFonts w:ascii="Arial" w:hAnsi="Arial" w:cs="Arial"/>
          <w:i/>
          <w:sz w:val="20"/>
          <w:szCs w:val="20"/>
          <w:lang w:val="ro-RO"/>
        </w:rPr>
        <w:t>S</w:t>
      </w:r>
      <w:r w:rsidRPr="006279E9">
        <w:rPr>
          <w:rFonts w:ascii="Arial" w:hAnsi="Arial" w:cs="Arial"/>
          <w:i/>
          <w:sz w:val="20"/>
          <w:szCs w:val="20"/>
          <w:lang w:val="ro-RO"/>
        </w:rPr>
        <w:t xml:space="preserve">upraveghere </w:t>
      </w:r>
      <w:r>
        <w:rPr>
          <w:rFonts w:ascii="Arial" w:hAnsi="Arial" w:cs="Arial"/>
          <w:i/>
          <w:sz w:val="20"/>
          <w:szCs w:val="20"/>
          <w:lang w:val="ro-RO"/>
        </w:rPr>
        <w:t>F</w:t>
      </w:r>
      <w:r w:rsidRPr="006279E9">
        <w:rPr>
          <w:rFonts w:ascii="Arial" w:hAnsi="Arial" w:cs="Arial"/>
          <w:i/>
          <w:sz w:val="20"/>
          <w:szCs w:val="20"/>
          <w:lang w:val="ro-RO"/>
        </w:rPr>
        <w:t xml:space="preserve">inanciară cu privire la </w:t>
      </w:r>
      <w:r w:rsidR="00AA346E" w:rsidRPr="006279E9">
        <w:rPr>
          <w:rFonts w:ascii="Arial" w:hAnsi="Arial" w:cs="Arial"/>
          <w:i/>
          <w:sz w:val="20"/>
          <w:szCs w:val="20"/>
          <w:lang w:val="ro-RO"/>
        </w:rPr>
        <w:t>oportunităț</w:t>
      </w:r>
      <w:r w:rsidR="00AA346E">
        <w:rPr>
          <w:rFonts w:ascii="Arial" w:hAnsi="Arial" w:cs="Arial"/>
          <w:i/>
          <w:sz w:val="20"/>
          <w:szCs w:val="20"/>
          <w:lang w:val="ro-RO"/>
        </w:rPr>
        <w:t>ile</w:t>
      </w:r>
      <w:r w:rsidRPr="006279E9">
        <w:rPr>
          <w:rFonts w:ascii="Arial" w:hAnsi="Arial" w:cs="Arial"/>
          <w:i/>
          <w:sz w:val="20"/>
          <w:szCs w:val="20"/>
          <w:lang w:val="ro-RO"/>
        </w:rPr>
        <w:t>, avantajele sau dezavantajele, profitul sau riscurile implicate în tranzacțiile încheiate după acceptarea ofertei</w:t>
      </w:r>
      <w:r>
        <w:rPr>
          <w:rFonts w:ascii="Arial" w:hAnsi="Arial" w:cs="Arial"/>
          <w:i/>
          <w:sz w:val="20"/>
          <w:szCs w:val="20"/>
          <w:lang w:val="ro-RO"/>
        </w:rPr>
        <w:t xml:space="preserve"> publice</w:t>
      </w:r>
      <w:r w:rsidRPr="006279E9">
        <w:rPr>
          <w:rFonts w:ascii="Arial" w:hAnsi="Arial" w:cs="Arial"/>
          <w:i/>
          <w:sz w:val="20"/>
          <w:szCs w:val="20"/>
          <w:lang w:val="ro-RO"/>
        </w:rPr>
        <w:t>, care fac obiectul deciziei de aprobare</w:t>
      </w:r>
      <w:r>
        <w:rPr>
          <w:rFonts w:ascii="Arial" w:hAnsi="Arial" w:cs="Arial"/>
          <w:i/>
          <w:sz w:val="20"/>
          <w:szCs w:val="20"/>
          <w:lang w:val="ro-RO"/>
        </w:rPr>
        <w:t>.</w:t>
      </w:r>
      <w:r w:rsidRPr="006279E9">
        <w:rPr>
          <w:rFonts w:ascii="Arial" w:hAnsi="Arial" w:cs="Arial"/>
          <w:i/>
          <w:sz w:val="20"/>
          <w:szCs w:val="20"/>
          <w:lang w:val="ro-RO"/>
        </w:rPr>
        <w:t xml:space="preserve"> </w:t>
      </w:r>
      <w:r>
        <w:rPr>
          <w:rFonts w:ascii="Arial" w:hAnsi="Arial" w:cs="Arial"/>
          <w:i/>
          <w:sz w:val="20"/>
          <w:szCs w:val="20"/>
          <w:lang w:val="ro-RO"/>
        </w:rPr>
        <w:t>D</w:t>
      </w:r>
      <w:r w:rsidRPr="006279E9">
        <w:rPr>
          <w:rFonts w:ascii="Arial" w:hAnsi="Arial" w:cs="Arial"/>
          <w:i/>
          <w:sz w:val="20"/>
          <w:szCs w:val="20"/>
          <w:lang w:val="ro-RO"/>
        </w:rPr>
        <w:t>ecizia de aprobare certifică numai conformitatea prospectului cu cerințele legii și ale normelor adoptate pentru aplicarea acesteia</w:t>
      </w:r>
      <w:r>
        <w:rPr>
          <w:rFonts w:ascii="Arial" w:hAnsi="Arial" w:cs="Arial"/>
          <w:i/>
          <w:sz w:val="20"/>
          <w:szCs w:val="20"/>
          <w:lang w:val="ro-RO"/>
        </w:rPr>
        <w:t>.</w:t>
      </w:r>
    </w:p>
    <w:p w14:paraId="12F9EA4B" w14:textId="77777777" w:rsidR="006279E9" w:rsidRDefault="00F2261D" w:rsidP="00B73F97">
      <w:pPr>
        <w:spacing w:before="120" w:after="120" w:line="29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 xml:space="preserve">Acest </w:t>
      </w:r>
      <w:proofErr w:type="spellStart"/>
      <w:r>
        <w:rPr>
          <w:rFonts w:ascii="Arial" w:hAnsi="Arial" w:cs="Arial"/>
          <w:i/>
          <w:sz w:val="20"/>
          <w:szCs w:val="20"/>
          <w:lang w:val="ro-RO"/>
        </w:rPr>
        <w:t>anunţ</w:t>
      </w:r>
      <w:proofErr w:type="spellEnd"/>
      <w:r>
        <w:rPr>
          <w:rFonts w:ascii="Arial" w:hAnsi="Arial" w:cs="Arial"/>
          <w:i/>
          <w:sz w:val="20"/>
          <w:szCs w:val="20"/>
          <w:lang w:val="ro-RO"/>
        </w:rPr>
        <w:t xml:space="preserve"> nu </w:t>
      </w:r>
      <w:r w:rsidR="00B37E14">
        <w:rPr>
          <w:rFonts w:ascii="Arial" w:hAnsi="Arial" w:cs="Arial"/>
          <w:i/>
          <w:sz w:val="20"/>
          <w:szCs w:val="20"/>
          <w:lang w:val="ro-RO"/>
        </w:rPr>
        <w:t xml:space="preserve">constituie o ofertă </w:t>
      </w:r>
      <w:r w:rsidR="00DB4254">
        <w:rPr>
          <w:rFonts w:ascii="Arial" w:hAnsi="Arial" w:cs="Arial"/>
          <w:i/>
          <w:sz w:val="20"/>
          <w:szCs w:val="20"/>
          <w:lang w:val="ro-RO"/>
        </w:rPr>
        <w:t xml:space="preserve">de vânzare </w:t>
      </w:r>
      <w:r w:rsidR="00B37E14">
        <w:rPr>
          <w:rFonts w:ascii="Arial" w:hAnsi="Arial" w:cs="Arial"/>
          <w:i/>
          <w:sz w:val="20"/>
          <w:szCs w:val="20"/>
          <w:lang w:val="ro-RO"/>
        </w:rPr>
        <w:t xml:space="preserve">de valori mobiliare în Statele Unite ale Americii. </w:t>
      </w:r>
      <w:r w:rsidR="00B37E14" w:rsidRPr="00B37E14">
        <w:rPr>
          <w:rFonts w:ascii="Arial" w:hAnsi="Arial" w:cs="Arial"/>
          <w:i/>
          <w:sz w:val="20"/>
          <w:szCs w:val="20"/>
          <w:lang w:val="ro-RO"/>
        </w:rPr>
        <w:t>Va</w:t>
      </w:r>
      <w:r w:rsidR="00794BBD">
        <w:rPr>
          <w:rFonts w:ascii="Arial" w:hAnsi="Arial" w:cs="Arial"/>
          <w:i/>
          <w:sz w:val="20"/>
          <w:szCs w:val="20"/>
          <w:lang w:val="ro-RO"/>
        </w:rPr>
        <w:t xml:space="preserve">lorile mobiliare </w:t>
      </w:r>
      <w:proofErr w:type="spellStart"/>
      <w:r w:rsidR="00794BBD">
        <w:rPr>
          <w:rFonts w:ascii="Arial" w:hAnsi="Arial" w:cs="Arial"/>
          <w:i/>
          <w:sz w:val="20"/>
          <w:szCs w:val="20"/>
          <w:lang w:val="ro-RO"/>
        </w:rPr>
        <w:t>menţionate</w:t>
      </w:r>
      <w:proofErr w:type="spellEnd"/>
      <w:r w:rsidR="00794BBD">
        <w:rPr>
          <w:rFonts w:ascii="Arial" w:hAnsi="Arial" w:cs="Arial"/>
          <w:i/>
          <w:sz w:val="20"/>
          <w:szCs w:val="20"/>
          <w:lang w:val="ro-RO"/>
        </w:rPr>
        <w:t xml:space="preserve"> în acest anunț</w:t>
      </w:r>
      <w:r w:rsidR="00B37E14" w:rsidRPr="00B37E14">
        <w:rPr>
          <w:rFonts w:ascii="Arial" w:hAnsi="Arial" w:cs="Arial"/>
          <w:i/>
          <w:sz w:val="20"/>
          <w:szCs w:val="20"/>
          <w:lang w:val="ro-RO"/>
        </w:rPr>
        <w:t xml:space="preserve"> nu au fost înregistrate în baza Legii</w:t>
      </w:r>
      <w:r w:rsidR="00C9468D">
        <w:rPr>
          <w:rFonts w:ascii="Arial" w:hAnsi="Arial" w:cs="Arial"/>
          <w:i/>
          <w:sz w:val="20"/>
          <w:szCs w:val="20"/>
          <w:lang w:val="ro-RO"/>
        </w:rPr>
        <w:t xml:space="preserve"> privind valorile m</w:t>
      </w:r>
      <w:r w:rsidR="00B37E14" w:rsidRPr="00B37E14">
        <w:rPr>
          <w:rFonts w:ascii="Arial" w:hAnsi="Arial" w:cs="Arial"/>
          <w:i/>
          <w:sz w:val="20"/>
          <w:szCs w:val="20"/>
          <w:lang w:val="ro-RO"/>
        </w:rPr>
        <w:t>obiliare din 1933 din Statele Unite</w:t>
      </w:r>
      <w:r w:rsidR="00794BBD">
        <w:rPr>
          <w:rFonts w:ascii="Arial" w:hAnsi="Arial" w:cs="Arial"/>
          <w:i/>
          <w:sz w:val="20"/>
          <w:szCs w:val="20"/>
          <w:lang w:val="ro-RO"/>
        </w:rPr>
        <w:t xml:space="preserve"> ale Americii, astfel cum a fost modificată</w:t>
      </w:r>
      <w:r w:rsidR="00C9468D">
        <w:rPr>
          <w:rFonts w:ascii="Arial" w:hAnsi="Arial" w:cs="Arial"/>
          <w:i/>
          <w:sz w:val="20"/>
          <w:szCs w:val="20"/>
          <w:lang w:val="ro-RO"/>
        </w:rPr>
        <w:t xml:space="preserve"> („</w:t>
      </w:r>
      <w:r w:rsidR="00C9468D" w:rsidRPr="00C9468D">
        <w:rPr>
          <w:rFonts w:ascii="Arial" w:hAnsi="Arial" w:cs="Arial"/>
          <w:b/>
          <w:i/>
          <w:sz w:val="20"/>
          <w:szCs w:val="20"/>
          <w:lang w:val="ro-RO"/>
        </w:rPr>
        <w:t>Legea privind Valorile Mobiliare</w:t>
      </w:r>
      <w:r w:rsidR="00C9468D">
        <w:rPr>
          <w:rFonts w:ascii="Arial" w:hAnsi="Arial" w:cs="Arial"/>
          <w:i/>
          <w:sz w:val="20"/>
          <w:szCs w:val="20"/>
          <w:lang w:val="ro-RO"/>
        </w:rPr>
        <w:t>”)</w:t>
      </w:r>
      <w:r w:rsidR="00123CB6">
        <w:rPr>
          <w:rFonts w:ascii="Arial" w:hAnsi="Arial" w:cs="Arial"/>
          <w:i/>
          <w:sz w:val="20"/>
          <w:szCs w:val="20"/>
          <w:lang w:val="ro-RO"/>
        </w:rPr>
        <w:t>,</w:t>
      </w:r>
      <w:r w:rsidR="00C9468D">
        <w:rPr>
          <w:rFonts w:ascii="Arial" w:hAnsi="Arial" w:cs="Arial"/>
          <w:i/>
          <w:sz w:val="20"/>
          <w:szCs w:val="20"/>
          <w:lang w:val="ro-RO"/>
        </w:rPr>
        <w:t xml:space="preserve"> și pot fi oferite sau vândute doar în afara Statelor Unite ale Americii conform Regulamentului S din Legea privind Valorile Mobiliare. </w:t>
      </w:r>
    </w:p>
    <w:p w14:paraId="189E0AC7" w14:textId="43149AF3" w:rsidR="00C9468D" w:rsidRPr="00025FCE" w:rsidRDefault="00C9468D" w:rsidP="00B73F97">
      <w:pPr>
        <w:spacing w:before="120" w:after="120" w:line="29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 xml:space="preserve">Societatea și acționarii vânzători nu au autorizat nicio ofertă de valori mobiliare către public în alt Stat Membru al Spațiului Economic European decât România. </w:t>
      </w:r>
      <w:r w:rsidR="00351E01">
        <w:rPr>
          <w:rFonts w:ascii="Arial" w:hAnsi="Arial" w:cs="Arial"/>
          <w:i/>
          <w:sz w:val="20"/>
          <w:szCs w:val="20"/>
          <w:lang w:val="ro-RO"/>
        </w:rPr>
        <w:t>În ceea ce privește fiecare Stat M</w:t>
      </w:r>
      <w:r w:rsidRPr="00C9468D">
        <w:rPr>
          <w:rFonts w:ascii="Arial" w:hAnsi="Arial" w:cs="Arial"/>
          <w:i/>
          <w:sz w:val="20"/>
          <w:szCs w:val="20"/>
          <w:lang w:val="ro-RO"/>
        </w:rPr>
        <w:t xml:space="preserve">embru al Spațiului Economic </w:t>
      </w:r>
      <w:r w:rsidR="00351E01">
        <w:rPr>
          <w:rFonts w:ascii="Arial" w:hAnsi="Arial" w:cs="Arial"/>
          <w:i/>
          <w:sz w:val="20"/>
          <w:szCs w:val="20"/>
          <w:lang w:val="ro-RO"/>
        </w:rPr>
        <w:t>European, altul decât România,</w:t>
      </w:r>
      <w:r w:rsidRPr="00C9468D">
        <w:rPr>
          <w:rFonts w:ascii="Arial" w:hAnsi="Arial" w:cs="Arial"/>
          <w:i/>
          <w:sz w:val="20"/>
          <w:szCs w:val="20"/>
          <w:lang w:val="ro-RO"/>
        </w:rPr>
        <w:t xml:space="preserve"> care a</w:t>
      </w:r>
      <w:r w:rsidR="00351E01">
        <w:rPr>
          <w:rFonts w:ascii="Arial" w:hAnsi="Arial" w:cs="Arial"/>
          <w:i/>
          <w:sz w:val="20"/>
          <w:szCs w:val="20"/>
          <w:lang w:val="ro-RO"/>
        </w:rPr>
        <w:t xml:space="preserve"> implementat Directiva privind P</w:t>
      </w:r>
      <w:r w:rsidRPr="00C9468D">
        <w:rPr>
          <w:rFonts w:ascii="Arial" w:hAnsi="Arial" w:cs="Arial"/>
          <w:i/>
          <w:sz w:val="20"/>
          <w:szCs w:val="20"/>
          <w:lang w:val="ro-RO"/>
        </w:rPr>
        <w:t>rospectul (fiecare</w:t>
      </w:r>
      <w:r w:rsidR="00AA346E">
        <w:rPr>
          <w:rFonts w:ascii="Arial" w:hAnsi="Arial" w:cs="Arial"/>
          <w:i/>
          <w:sz w:val="20"/>
          <w:szCs w:val="20"/>
          <w:lang w:val="ro-RO"/>
        </w:rPr>
        <w:t>, un</w:t>
      </w:r>
      <w:r w:rsidR="00351E01">
        <w:rPr>
          <w:rFonts w:ascii="Arial" w:hAnsi="Arial" w:cs="Arial"/>
          <w:i/>
          <w:sz w:val="20"/>
          <w:szCs w:val="20"/>
          <w:lang w:val="ro-RO"/>
        </w:rPr>
        <w:t xml:space="preserve"> „</w:t>
      </w:r>
      <w:r w:rsidR="00351E01" w:rsidRPr="00351E01">
        <w:rPr>
          <w:rFonts w:ascii="Arial" w:hAnsi="Arial" w:cs="Arial"/>
          <w:b/>
          <w:i/>
          <w:sz w:val="20"/>
          <w:szCs w:val="20"/>
          <w:lang w:val="ro-RO"/>
        </w:rPr>
        <w:t>Stat Membru R</w:t>
      </w:r>
      <w:r w:rsidRPr="00351E01">
        <w:rPr>
          <w:rFonts w:ascii="Arial" w:hAnsi="Arial" w:cs="Arial"/>
          <w:b/>
          <w:i/>
          <w:sz w:val="20"/>
          <w:szCs w:val="20"/>
          <w:lang w:val="ro-RO"/>
        </w:rPr>
        <w:t>elevant</w:t>
      </w:r>
      <w:r w:rsidR="00351E01">
        <w:rPr>
          <w:rFonts w:ascii="Arial" w:hAnsi="Arial" w:cs="Arial"/>
          <w:i/>
          <w:sz w:val="20"/>
          <w:szCs w:val="20"/>
          <w:lang w:val="ro-RO"/>
        </w:rPr>
        <w:t>”</w:t>
      </w:r>
      <w:r w:rsidR="001E1A38">
        <w:rPr>
          <w:rFonts w:ascii="Arial" w:hAnsi="Arial" w:cs="Arial"/>
          <w:i/>
          <w:sz w:val="20"/>
          <w:szCs w:val="20"/>
          <w:lang w:val="ro-RO"/>
        </w:rPr>
        <w:t xml:space="preserve">), nu s-au întreprins și </w:t>
      </w:r>
      <w:r w:rsidR="00351E01">
        <w:rPr>
          <w:rFonts w:ascii="Arial" w:hAnsi="Arial" w:cs="Arial"/>
          <w:i/>
          <w:sz w:val="20"/>
          <w:szCs w:val="20"/>
          <w:lang w:val="ro-RO"/>
        </w:rPr>
        <w:t xml:space="preserve">nici nu </w:t>
      </w:r>
      <w:r w:rsidRPr="00C9468D">
        <w:rPr>
          <w:rFonts w:ascii="Arial" w:hAnsi="Arial" w:cs="Arial"/>
          <w:i/>
          <w:sz w:val="20"/>
          <w:szCs w:val="20"/>
          <w:lang w:val="ro-RO"/>
        </w:rPr>
        <w:t>se vor întreprinde acțiuni</w:t>
      </w:r>
      <w:r w:rsidR="001E1A38">
        <w:rPr>
          <w:rFonts w:ascii="Arial" w:hAnsi="Arial" w:cs="Arial"/>
          <w:i/>
          <w:sz w:val="20"/>
          <w:szCs w:val="20"/>
          <w:lang w:val="ro-RO"/>
        </w:rPr>
        <w:t xml:space="preserve"> pentru a face o ofertă publică de</w:t>
      </w:r>
      <w:r w:rsidR="00351E01">
        <w:rPr>
          <w:rFonts w:ascii="Arial" w:hAnsi="Arial" w:cs="Arial"/>
          <w:i/>
          <w:sz w:val="20"/>
          <w:szCs w:val="20"/>
          <w:lang w:val="ro-RO"/>
        </w:rPr>
        <w:t xml:space="preserve"> valo</w:t>
      </w:r>
      <w:r w:rsidR="001E1A38">
        <w:rPr>
          <w:rFonts w:ascii="Arial" w:hAnsi="Arial" w:cs="Arial"/>
          <w:i/>
          <w:sz w:val="20"/>
          <w:szCs w:val="20"/>
          <w:lang w:val="ro-RO"/>
        </w:rPr>
        <w:t>ri</w:t>
      </w:r>
      <w:r w:rsidR="00123CB6">
        <w:rPr>
          <w:rFonts w:ascii="Arial" w:hAnsi="Arial" w:cs="Arial"/>
          <w:i/>
          <w:sz w:val="20"/>
          <w:szCs w:val="20"/>
          <w:lang w:val="ro-RO"/>
        </w:rPr>
        <w:t xml:space="preserve"> mobiliare care necesită</w:t>
      </w:r>
      <w:r w:rsidRPr="00C9468D">
        <w:rPr>
          <w:rFonts w:ascii="Arial" w:hAnsi="Arial" w:cs="Arial"/>
          <w:i/>
          <w:sz w:val="20"/>
          <w:szCs w:val="20"/>
          <w:lang w:val="ro-RO"/>
        </w:rPr>
        <w:t xml:space="preserve"> pub</w:t>
      </w:r>
      <w:r w:rsidR="00351E01">
        <w:rPr>
          <w:rFonts w:ascii="Arial" w:hAnsi="Arial" w:cs="Arial"/>
          <w:i/>
          <w:sz w:val="20"/>
          <w:szCs w:val="20"/>
          <w:lang w:val="ro-RO"/>
        </w:rPr>
        <w:t>licarea unui prospect în orice Stat Membru Relevant. În consecință, valorile mobiliare pot fi oferite numai în Statele Membre R</w:t>
      </w:r>
      <w:r w:rsidRPr="00C9468D">
        <w:rPr>
          <w:rFonts w:ascii="Arial" w:hAnsi="Arial" w:cs="Arial"/>
          <w:i/>
          <w:sz w:val="20"/>
          <w:szCs w:val="20"/>
          <w:lang w:val="ro-RO"/>
        </w:rPr>
        <w:t xml:space="preserve">elevante (a) investitorilor calificați în sensul articolului 2 alineatul (1) litera (e) </w:t>
      </w:r>
      <w:r w:rsidRPr="00C9468D">
        <w:rPr>
          <w:rFonts w:ascii="Arial" w:hAnsi="Arial" w:cs="Arial"/>
          <w:i/>
          <w:sz w:val="20"/>
          <w:szCs w:val="20"/>
          <w:lang w:val="ro-RO"/>
        </w:rPr>
        <w:lastRenderedPageBreak/>
        <w:t>din Directiva privi</w:t>
      </w:r>
      <w:r w:rsidR="00A30DED">
        <w:rPr>
          <w:rFonts w:ascii="Arial" w:hAnsi="Arial" w:cs="Arial"/>
          <w:i/>
          <w:sz w:val="20"/>
          <w:szCs w:val="20"/>
          <w:lang w:val="ro-RO"/>
        </w:rPr>
        <w:t>nd P</w:t>
      </w:r>
      <w:r w:rsidRPr="00C9468D">
        <w:rPr>
          <w:rFonts w:ascii="Arial" w:hAnsi="Arial" w:cs="Arial"/>
          <w:i/>
          <w:sz w:val="20"/>
          <w:szCs w:val="20"/>
          <w:lang w:val="ro-RO"/>
        </w:rPr>
        <w:t>rospectul; sau (b)</w:t>
      </w:r>
      <w:r w:rsidR="00A30DED" w:rsidRPr="00A30DED">
        <w:rPr>
          <w:rFonts w:ascii="TimesNewRomanPSMT" w:eastAsia="TimesNewRomanPSMT" w:cs="TimesNewRomanPSMT" w:hint="eastAsia"/>
          <w:sz w:val="21"/>
          <w:szCs w:val="21"/>
        </w:rPr>
        <w:t xml:space="preserve"> </w:t>
      </w:r>
      <w:proofErr w:type="spellStart"/>
      <w:r w:rsidR="00A30DED" w:rsidRPr="00A30DED">
        <w:rPr>
          <w:rFonts w:ascii="Arial" w:hAnsi="Arial" w:cs="Arial" w:hint="eastAsia"/>
          <w:i/>
          <w:sz w:val="20"/>
          <w:szCs w:val="20"/>
        </w:rPr>
        <w:t>î</w:t>
      </w:r>
      <w:r w:rsidR="00A30DED" w:rsidRPr="00A30DED">
        <w:rPr>
          <w:rFonts w:ascii="Arial" w:hAnsi="Arial" w:cs="Arial"/>
          <w:i/>
          <w:sz w:val="20"/>
          <w:szCs w:val="20"/>
        </w:rPr>
        <w:t>n</w:t>
      </w:r>
      <w:proofErr w:type="spellEnd"/>
      <w:r w:rsidR="00A30DED" w:rsidRPr="00A30DE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30DED" w:rsidRPr="00A30DED">
        <w:rPr>
          <w:rFonts w:ascii="Arial" w:hAnsi="Arial" w:cs="Arial"/>
          <w:i/>
          <w:sz w:val="20"/>
          <w:szCs w:val="20"/>
        </w:rPr>
        <w:t>orice</w:t>
      </w:r>
      <w:proofErr w:type="spellEnd"/>
      <w:r w:rsidR="00A30DED" w:rsidRPr="00A30DE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30DED" w:rsidRPr="00A30DED">
        <w:rPr>
          <w:rFonts w:ascii="Arial" w:hAnsi="Arial" w:cs="Arial"/>
          <w:i/>
          <w:sz w:val="20"/>
          <w:szCs w:val="20"/>
        </w:rPr>
        <w:t>alte</w:t>
      </w:r>
      <w:proofErr w:type="spellEnd"/>
      <w:r w:rsidR="00A30DED" w:rsidRPr="00A30DE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30DED" w:rsidRPr="00A30DED">
        <w:rPr>
          <w:rFonts w:ascii="Arial" w:hAnsi="Arial" w:cs="Arial"/>
          <w:i/>
          <w:sz w:val="20"/>
          <w:szCs w:val="20"/>
        </w:rPr>
        <w:t>situa</w:t>
      </w:r>
      <w:r w:rsidR="00A30DED" w:rsidRPr="00A30DED">
        <w:rPr>
          <w:rFonts w:ascii="Arial" w:hAnsi="Arial" w:cs="Arial" w:hint="eastAsia"/>
          <w:i/>
          <w:sz w:val="20"/>
          <w:szCs w:val="20"/>
        </w:rPr>
        <w:t>ț</w:t>
      </w:r>
      <w:r w:rsidR="00A30DED" w:rsidRPr="00A30DED">
        <w:rPr>
          <w:rFonts w:ascii="Arial" w:hAnsi="Arial" w:cs="Arial"/>
          <w:i/>
          <w:sz w:val="20"/>
          <w:szCs w:val="20"/>
        </w:rPr>
        <w:t>ii</w:t>
      </w:r>
      <w:proofErr w:type="spellEnd"/>
      <w:r w:rsidR="00A30DED" w:rsidRPr="00A30DED">
        <w:rPr>
          <w:rFonts w:ascii="Arial" w:hAnsi="Arial" w:cs="Arial"/>
          <w:i/>
          <w:sz w:val="20"/>
          <w:szCs w:val="20"/>
        </w:rPr>
        <w:t xml:space="preserve"> </w:t>
      </w:r>
      <w:r w:rsidR="001E1A38">
        <w:rPr>
          <w:rFonts w:ascii="Arial" w:hAnsi="Arial" w:cs="Arial"/>
          <w:i/>
          <w:sz w:val="20"/>
          <w:szCs w:val="20"/>
        </w:rPr>
        <w:t xml:space="preserve">care nu </w:t>
      </w:r>
      <w:proofErr w:type="spellStart"/>
      <w:r w:rsidR="001E1A38">
        <w:rPr>
          <w:rFonts w:ascii="Arial" w:hAnsi="Arial" w:cs="Arial"/>
          <w:i/>
          <w:sz w:val="20"/>
          <w:szCs w:val="20"/>
        </w:rPr>
        <w:t>necesit</w:t>
      </w:r>
      <w:proofErr w:type="spellEnd"/>
      <w:r w:rsidR="001E1A38">
        <w:rPr>
          <w:rFonts w:ascii="Arial" w:hAnsi="Arial" w:cs="Arial"/>
          <w:i/>
          <w:sz w:val="20"/>
          <w:szCs w:val="20"/>
          <w:lang w:val="ro-RO"/>
        </w:rPr>
        <w:t xml:space="preserve">ă publicarea unui prospect, </w:t>
      </w:r>
      <w:proofErr w:type="spellStart"/>
      <w:r w:rsidR="00A30DED" w:rsidRPr="00A30DED">
        <w:rPr>
          <w:rFonts w:ascii="Arial" w:hAnsi="Arial" w:cs="Arial"/>
          <w:i/>
          <w:sz w:val="20"/>
          <w:szCs w:val="20"/>
        </w:rPr>
        <w:t>reglementate</w:t>
      </w:r>
      <w:proofErr w:type="spellEnd"/>
      <w:r w:rsidR="00A30DED" w:rsidRPr="00A30DED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="00A30DED" w:rsidRPr="00A30DED">
        <w:rPr>
          <w:rFonts w:ascii="Arial" w:hAnsi="Arial" w:cs="Arial"/>
          <w:i/>
          <w:sz w:val="20"/>
          <w:szCs w:val="20"/>
        </w:rPr>
        <w:t>Articolul</w:t>
      </w:r>
      <w:proofErr w:type="spellEnd"/>
      <w:r w:rsidR="00A30DED" w:rsidRPr="00A30DED">
        <w:rPr>
          <w:rFonts w:ascii="Arial" w:hAnsi="Arial" w:cs="Arial"/>
          <w:i/>
          <w:sz w:val="20"/>
          <w:szCs w:val="20"/>
        </w:rPr>
        <w:t xml:space="preserve"> 3(2) din </w:t>
      </w:r>
      <w:proofErr w:type="spellStart"/>
      <w:r w:rsidR="00A30DED" w:rsidRPr="00A30DED">
        <w:rPr>
          <w:rFonts w:ascii="Arial" w:hAnsi="Arial" w:cs="Arial"/>
          <w:i/>
          <w:sz w:val="20"/>
          <w:szCs w:val="20"/>
        </w:rPr>
        <w:t>Directiva</w:t>
      </w:r>
      <w:proofErr w:type="spellEnd"/>
      <w:r w:rsidR="00A30DED" w:rsidRPr="00A30DE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30DED" w:rsidRPr="00A30DED">
        <w:rPr>
          <w:rFonts w:ascii="Arial" w:hAnsi="Arial" w:cs="Arial"/>
          <w:i/>
          <w:sz w:val="20"/>
          <w:szCs w:val="20"/>
        </w:rPr>
        <w:t>privind</w:t>
      </w:r>
      <w:proofErr w:type="spellEnd"/>
      <w:r w:rsidR="00A30DED" w:rsidRPr="00A30DE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30DED" w:rsidRPr="00A30DED">
        <w:rPr>
          <w:rFonts w:ascii="Arial" w:hAnsi="Arial" w:cs="Arial"/>
          <w:i/>
          <w:sz w:val="20"/>
          <w:szCs w:val="20"/>
        </w:rPr>
        <w:t>Prospectul</w:t>
      </w:r>
      <w:proofErr w:type="spellEnd"/>
      <w:r w:rsidR="001E1A38">
        <w:rPr>
          <w:rFonts w:ascii="Arial" w:hAnsi="Arial" w:cs="Arial"/>
          <w:i/>
          <w:sz w:val="20"/>
          <w:szCs w:val="20"/>
          <w:lang w:val="ro-RO"/>
        </w:rPr>
        <w:t>. În sensul prezentului paragraf, expres</w:t>
      </w:r>
      <w:r w:rsidR="008D036F">
        <w:rPr>
          <w:rFonts w:ascii="Arial" w:hAnsi="Arial" w:cs="Arial"/>
          <w:i/>
          <w:sz w:val="20"/>
          <w:szCs w:val="20"/>
          <w:lang w:val="ro-RO"/>
        </w:rPr>
        <w:t>ia „</w:t>
      </w:r>
      <w:r w:rsidR="001E1A38">
        <w:rPr>
          <w:rFonts w:ascii="Arial" w:hAnsi="Arial" w:cs="Arial"/>
          <w:i/>
          <w:sz w:val="20"/>
          <w:szCs w:val="20"/>
          <w:lang w:val="ro-RO"/>
        </w:rPr>
        <w:t>ofertă publică de valori</w:t>
      </w:r>
      <w:r w:rsidRPr="00C9468D">
        <w:rPr>
          <w:rFonts w:ascii="Arial" w:hAnsi="Arial" w:cs="Arial"/>
          <w:i/>
          <w:sz w:val="20"/>
          <w:szCs w:val="20"/>
          <w:lang w:val="ro-RO"/>
        </w:rPr>
        <w:t xml:space="preserve"> mobiliare" în</w:t>
      </w:r>
      <w:r w:rsidR="001E1A38">
        <w:rPr>
          <w:rFonts w:ascii="Arial" w:hAnsi="Arial" w:cs="Arial"/>
          <w:i/>
          <w:sz w:val="20"/>
          <w:szCs w:val="20"/>
          <w:lang w:val="ro-RO"/>
        </w:rPr>
        <w:t xml:space="preserve"> orice Stat Membru R</w:t>
      </w:r>
      <w:r w:rsidRPr="00C9468D">
        <w:rPr>
          <w:rFonts w:ascii="Arial" w:hAnsi="Arial" w:cs="Arial"/>
          <w:i/>
          <w:sz w:val="20"/>
          <w:szCs w:val="20"/>
          <w:lang w:val="ro-RO"/>
        </w:rPr>
        <w:t xml:space="preserve">elevant înseamnă comunicarea sub orice formă și prin orice mijloace </w:t>
      </w:r>
      <w:r w:rsidR="001E1A38">
        <w:rPr>
          <w:rFonts w:ascii="Arial" w:hAnsi="Arial" w:cs="Arial"/>
          <w:i/>
          <w:sz w:val="20"/>
          <w:szCs w:val="20"/>
          <w:lang w:val="ro-RO"/>
        </w:rPr>
        <w:t xml:space="preserve">care prezintă </w:t>
      </w:r>
      <w:r w:rsidRPr="00C9468D">
        <w:rPr>
          <w:rFonts w:ascii="Arial" w:hAnsi="Arial" w:cs="Arial"/>
          <w:i/>
          <w:sz w:val="20"/>
          <w:szCs w:val="20"/>
          <w:lang w:val="ro-RO"/>
        </w:rPr>
        <w:t>inf</w:t>
      </w:r>
      <w:r w:rsidR="001E1A38">
        <w:rPr>
          <w:rFonts w:ascii="Arial" w:hAnsi="Arial" w:cs="Arial"/>
          <w:i/>
          <w:sz w:val="20"/>
          <w:szCs w:val="20"/>
          <w:lang w:val="ro-RO"/>
        </w:rPr>
        <w:t xml:space="preserve">ormații suficiente despre termenii ofertei și despre </w:t>
      </w:r>
      <w:r w:rsidRPr="00C9468D">
        <w:rPr>
          <w:rFonts w:ascii="Arial" w:hAnsi="Arial" w:cs="Arial"/>
          <w:i/>
          <w:sz w:val="20"/>
          <w:szCs w:val="20"/>
          <w:lang w:val="ro-RO"/>
        </w:rPr>
        <w:t>valorile mobiliare</w:t>
      </w:r>
      <w:r w:rsidR="001E1A38">
        <w:rPr>
          <w:rFonts w:ascii="Arial" w:hAnsi="Arial" w:cs="Arial"/>
          <w:i/>
          <w:sz w:val="20"/>
          <w:szCs w:val="20"/>
          <w:lang w:val="ro-RO"/>
        </w:rPr>
        <w:t xml:space="preserve"> oferite, </w:t>
      </w:r>
      <w:r w:rsidRPr="00C9468D">
        <w:rPr>
          <w:rFonts w:ascii="Arial" w:hAnsi="Arial" w:cs="Arial"/>
          <w:i/>
          <w:sz w:val="20"/>
          <w:szCs w:val="20"/>
          <w:lang w:val="ro-RO"/>
        </w:rPr>
        <w:t xml:space="preserve">astfel încât </w:t>
      </w:r>
      <w:r w:rsidR="001E1A38">
        <w:rPr>
          <w:rFonts w:ascii="Arial" w:hAnsi="Arial" w:cs="Arial"/>
          <w:i/>
          <w:sz w:val="20"/>
          <w:szCs w:val="20"/>
          <w:lang w:val="ro-RO"/>
        </w:rPr>
        <w:t xml:space="preserve">să permită unui </w:t>
      </w:r>
      <w:r w:rsidRPr="00C9468D">
        <w:rPr>
          <w:rFonts w:ascii="Arial" w:hAnsi="Arial" w:cs="Arial"/>
          <w:i/>
          <w:sz w:val="20"/>
          <w:szCs w:val="20"/>
          <w:lang w:val="ro-RO"/>
        </w:rPr>
        <w:t xml:space="preserve">investitor să decidă </w:t>
      </w:r>
      <w:r w:rsidR="001E1A38">
        <w:rPr>
          <w:rFonts w:ascii="Arial" w:hAnsi="Arial" w:cs="Arial"/>
          <w:i/>
          <w:sz w:val="20"/>
          <w:szCs w:val="20"/>
          <w:lang w:val="ro-RO"/>
        </w:rPr>
        <w:t xml:space="preserve">cu privire la </w:t>
      </w:r>
      <w:r w:rsidRPr="00C9468D">
        <w:rPr>
          <w:rFonts w:ascii="Arial" w:hAnsi="Arial" w:cs="Arial"/>
          <w:i/>
          <w:sz w:val="20"/>
          <w:szCs w:val="20"/>
          <w:lang w:val="ro-RO"/>
        </w:rPr>
        <w:t xml:space="preserve">cumpărarea oricăror valori mobiliare, </w:t>
      </w:r>
      <w:r w:rsidR="008D036F">
        <w:rPr>
          <w:rFonts w:ascii="Arial" w:hAnsi="Arial" w:cs="Arial"/>
          <w:i/>
          <w:sz w:val="20"/>
          <w:szCs w:val="20"/>
          <w:lang w:val="ro-RO"/>
        </w:rPr>
        <w:t>astfel cum aceasta a fost modificată în orice Stat Membru prin orice act care implementează Directiva privind Prospectul, iar expresia „Directiva privind Prospectul” înseamnă Directiva 2003/71/CE ș</w:t>
      </w:r>
      <w:r w:rsidR="00123CB6">
        <w:rPr>
          <w:rFonts w:ascii="Arial" w:hAnsi="Arial" w:cs="Arial"/>
          <w:i/>
          <w:sz w:val="20"/>
          <w:szCs w:val="20"/>
          <w:lang w:val="ro-RO"/>
        </w:rPr>
        <w:t>i include orice act relevant prin care acesta a fost implementată</w:t>
      </w:r>
      <w:r w:rsidR="008D036F">
        <w:rPr>
          <w:rFonts w:ascii="Arial" w:hAnsi="Arial" w:cs="Arial"/>
          <w:i/>
          <w:sz w:val="20"/>
          <w:szCs w:val="20"/>
          <w:lang w:val="ro-RO"/>
        </w:rPr>
        <w:t xml:space="preserve"> în fiecare Stat Membru Relevant. </w:t>
      </w:r>
    </w:p>
    <w:sectPr w:rsidR="00C9468D" w:rsidRPr="00025FCE" w:rsidSect="00A53ACF">
      <w:pgSz w:w="11906" w:h="16838" w:code="9"/>
      <w:pgMar w:top="1843" w:right="1440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E2ADC" w14:textId="77777777" w:rsidR="00A97217" w:rsidRDefault="00A97217" w:rsidP="00D30563">
      <w:pPr>
        <w:spacing w:after="0" w:line="240" w:lineRule="auto"/>
      </w:pPr>
      <w:r>
        <w:separator/>
      </w:r>
    </w:p>
  </w:endnote>
  <w:endnote w:type="continuationSeparator" w:id="0">
    <w:p w14:paraId="0DF2C2F9" w14:textId="77777777" w:rsidR="00A97217" w:rsidRDefault="00A97217" w:rsidP="00D3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FE202" w14:textId="77777777" w:rsidR="00A97217" w:rsidRDefault="00A97217" w:rsidP="00D30563">
      <w:pPr>
        <w:spacing w:after="0" w:line="240" w:lineRule="auto"/>
      </w:pPr>
      <w:r>
        <w:separator/>
      </w:r>
    </w:p>
  </w:footnote>
  <w:footnote w:type="continuationSeparator" w:id="0">
    <w:p w14:paraId="2F08DDF0" w14:textId="77777777" w:rsidR="00A97217" w:rsidRDefault="00A97217" w:rsidP="00D30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279B3"/>
    <w:multiLevelType w:val="hybridMultilevel"/>
    <w:tmpl w:val="B436F2EE"/>
    <w:lvl w:ilvl="0" w:tplc="52B2C9DC">
      <w:start w:val="9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41000"/>
    <w:multiLevelType w:val="hybridMultilevel"/>
    <w:tmpl w:val="E5D0E7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6615A"/>
    <w:multiLevelType w:val="hybridMultilevel"/>
    <w:tmpl w:val="610C7C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94C72"/>
    <w:multiLevelType w:val="hybridMultilevel"/>
    <w:tmpl w:val="CB7A8D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63"/>
    <w:rsid w:val="0001772E"/>
    <w:rsid w:val="00025FCE"/>
    <w:rsid w:val="00037DC8"/>
    <w:rsid w:val="000477A0"/>
    <w:rsid w:val="000478CC"/>
    <w:rsid w:val="00070C43"/>
    <w:rsid w:val="000807AD"/>
    <w:rsid w:val="000B1CC8"/>
    <w:rsid w:val="000B761E"/>
    <w:rsid w:val="000C52C3"/>
    <w:rsid w:val="000F240D"/>
    <w:rsid w:val="00105F40"/>
    <w:rsid w:val="00117512"/>
    <w:rsid w:val="00123CB6"/>
    <w:rsid w:val="00124DF6"/>
    <w:rsid w:val="00126059"/>
    <w:rsid w:val="00144EA4"/>
    <w:rsid w:val="0015498E"/>
    <w:rsid w:val="001A1045"/>
    <w:rsid w:val="001A72D8"/>
    <w:rsid w:val="001C7DF6"/>
    <w:rsid w:val="001D5BA1"/>
    <w:rsid w:val="001E1A38"/>
    <w:rsid w:val="00213287"/>
    <w:rsid w:val="00273D6E"/>
    <w:rsid w:val="0028416F"/>
    <w:rsid w:val="002A3E9E"/>
    <w:rsid w:val="002B3A59"/>
    <w:rsid w:val="002C1F40"/>
    <w:rsid w:val="00300DFA"/>
    <w:rsid w:val="00315FA0"/>
    <w:rsid w:val="00316E81"/>
    <w:rsid w:val="00351E01"/>
    <w:rsid w:val="003807F7"/>
    <w:rsid w:val="003C0B2D"/>
    <w:rsid w:val="003C1DC3"/>
    <w:rsid w:val="003E2BAF"/>
    <w:rsid w:val="003F5BA8"/>
    <w:rsid w:val="004443AB"/>
    <w:rsid w:val="00451D6B"/>
    <w:rsid w:val="00465448"/>
    <w:rsid w:val="00483EAB"/>
    <w:rsid w:val="004C19F2"/>
    <w:rsid w:val="004C6898"/>
    <w:rsid w:val="004F3ED0"/>
    <w:rsid w:val="004F6B25"/>
    <w:rsid w:val="0051239F"/>
    <w:rsid w:val="00515026"/>
    <w:rsid w:val="005376A2"/>
    <w:rsid w:val="005442BD"/>
    <w:rsid w:val="00550F71"/>
    <w:rsid w:val="00584800"/>
    <w:rsid w:val="005855E7"/>
    <w:rsid w:val="005B1C1E"/>
    <w:rsid w:val="005D13E1"/>
    <w:rsid w:val="005E3A90"/>
    <w:rsid w:val="005F331A"/>
    <w:rsid w:val="00611DA7"/>
    <w:rsid w:val="006136DE"/>
    <w:rsid w:val="006279E9"/>
    <w:rsid w:val="0064523C"/>
    <w:rsid w:val="00670D58"/>
    <w:rsid w:val="00696632"/>
    <w:rsid w:val="006A36A7"/>
    <w:rsid w:val="00733046"/>
    <w:rsid w:val="00735C5C"/>
    <w:rsid w:val="00757290"/>
    <w:rsid w:val="007620B1"/>
    <w:rsid w:val="00794BBD"/>
    <w:rsid w:val="00795956"/>
    <w:rsid w:val="007C7D69"/>
    <w:rsid w:val="007E2FBC"/>
    <w:rsid w:val="0081000E"/>
    <w:rsid w:val="00834542"/>
    <w:rsid w:val="008749E9"/>
    <w:rsid w:val="008851FC"/>
    <w:rsid w:val="008D036F"/>
    <w:rsid w:val="008D6C09"/>
    <w:rsid w:val="00930A4E"/>
    <w:rsid w:val="00990A6A"/>
    <w:rsid w:val="009946A1"/>
    <w:rsid w:val="009A1D19"/>
    <w:rsid w:val="009A5F3C"/>
    <w:rsid w:val="009B73A8"/>
    <w:rsid w:val="009E6A7A"/>
    <w:rsid w:val="00A243DD"/>
    <w:rsid w:val="00A30DED"/>
    <w:rsid w:val="00A45E7D"/>
    <w:rsid w:val="00A47634"/>
    <w:rsid w:val="00A534EC"/>
    <w:rsid w:val="00A53ACF"/>
    <w:rsid w:val="00A60BC8"/>
    <w:rsid w:val="00A65223"/>
    <w:rsid w:val="00A8128D"/>
    <w:rsid w:val="00A97217"/>
    <w:rsid w:val="00AA21C5"/>
    <w:rsid w:val="00AA346E"/>
    <w:rsid w:val="00AC00EE"/>
    <w:rsid w:val="00AD0101"/>
    <w:rsid w:val="00AD44D8"/>
    <w:rsid w:val="00B26102"/>
    <w:rsid w:val="00B267B4"/>
    <w:rsid w:val="00B37E14"/>
    <w:rsid w:val="00B43593"/>
    <w:rsid w:val="00B5593B"/>
    <w:rsid w:val="00B61891"/>
    <w:rsid w:val="00B721E3"/>
    <w:rsid w:val="00B73F97"/>
    <w:rsid w:val="00B86821"/>
    <w:rsid w:val="00BA3364"/>
    <w:rsid w:val="00BB5DA4"/>
    <w:rsid w:val="00BD02D4"/>
    <w:rsid w:val="00C419E4"/>
    <w:rsid w:val="00C71184"/>
    <w:rsid w:val="00C7489D"/>
    <w:rsid w:val="00C8540C"/>
    <w:rsid w:val="00C91658"/>
    <w:rsid w:val="00C9468D"/>
    <w:rsid w:val="00C955E6"/>
    <w:rsid w:val="00CC30F7"/>
    <w:rsid w:val="00CD2FF6"/>
    <w:rsid w:val="00CE3EE6"/>
    <w:rsid w:val="00CF02FD"/>
    <w:rsid w:val="00D022D0"/>
    <w:rsid w:val="00D22149"/>
    <w:rsid w:val="00D30563"/>
    <w:rsid w:val="00D41ACE"/>
    <w:rsid w:val="00D422FF"/>
    <w:rsid w:val="00D42874"/>
    <w:rsid w:val="00D60F93"/>
    <w:rsid w:val="00D72971"/>
    <w:rsid w:val="00D8043A"/>
    <w:rsid w:val="00DA075A"/>
    <w:rsid w:val="00DA36A4"/>
    <w:rsid w:val="00DB4254"/>
    <w:rsid w:val="00DC2700"/>
    <w:rsid w:val="00DC6803"/>
    <w:rsid w:val="00DD040E"/>
    <w:rsid w:val="00DD54F6"/>
    <w:rsid w:val="00DF3828"/>
    <w:rsid w:val="00E01009"/>
    <w:rsid w:val="00E40655"/>
    <w:rsid w:val="00E4385B"/>
    <w:rsid w:val="00E4469D"/>
    <w:rsid w:val="00E9305A"/>
    <w:rsid w:val="00E94415"/>
    <w:rsid w:val="00E97271"/>
    <w:rsid w:val="00EA5972"/>
    <w:rsid w:val="00F05C1E"/>
    <w:rsid w:val="00F2261D"/>
    <w:rsid w:val="00F321A3"/>
    <w:rsid w:val="00F456AE"/>
    <w:rsid w:val="00F72F05"/>
    <w:rsid w:val="00F83725"/>
    <w:rsid w:val="00FB0382"/>
    <w:rsid w:val="00FC53EA"/>
    <w:rsid w:val="00F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C967AD"/>
  <w15:docId w15:val="{0132293A-4986-41EB-A593-7E903D0A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563"/>
  </w:style>
  <w:style w:type="paragraph" w:styleId="Footer">
    <w:name w:val="footer"/>
    <w:basedOn w:val="Normal"/>
    <w:link w:val="FooterChar"/>
    <w:uiPriority w:val="99"/>
    <w:unhideWhenUsed/>
    <w:rsid w:val="00D30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563"/>
  </w:style>
  <w:style w:type="character" w:styleId="Hyperlink">
    <w:name w:val="Hyperlink"/>
    <w:basedOn w:val="DefaultParagraphFont"/>
    <w:unhideWhenUsed/>
    <w:rsid w:val="00930A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A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42BD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AA21C5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val="de-AT"/>
    </w:rPr>
  </w:style>
  <w:style w:type="table" w:customStyle="1" w:styleId="TableGrid1">
    <w:name w:val="Table Grid1"/>
    <w:basedOn w:val="TableNormal"/>
    <w:next w:val="TableGrid"/>
    <w:uiPriority w:val="39"/>
    <w:rsid w:val="009A1D19"/>
    <w:pPr>
      <w:spacing w:after="140" w:line="29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spectus-Bodytext">
    <w:name w:val="Prospectus - Body text"/>
    <w:basedOn w:val="Normal"/>
    <w:link w:val="Prospectus-BodytextChar"/>
    <w:qFormat/>
    <w:rsid w:val="009A1D19"/>
    <w:pPr>
      <w:spacing w:before="120" w:after="0" w:line="264" w:lineRule="auto"/>
      <w:jc w:val="both"/>
    </w:pPr>
    <w:rPr>
      <w:rFonts w:ascii="Times New Roman" w:eastAsia="Times New Roman" w:hAnsi="Times New Roman" w:cs="Times New Roman"/>
      <w:kern w:val="20"/>
      <w:sz w:val="20"/>
      <w:lang w:val="en-GB"/>
    </w:rPr>
  </w:style>
  <w:style w:type="character" w:customStyle="1" w:styleId="Prospectus-BodytextChar">
    <w:name w:val="Prospectus - Body text Char"/>
    <w:basedOn w:val="DefaultParagraphFont"/>
    <w:link w:val="Prospectus-Bodytext"/>
    <w:rsid w:val="009A1D19"/>
    <w:rPr>
      <w:rFonts w:ascii="Times New Roman" w:eastAsia="Times New Roman" w:hAnsi="Times New Roman" w:cs="Times New Roman"/>
      <w:kern w:val="20"/>
      <w:sz w:val="20"/>
      <w:lang w:val="en-GB"/>
    </w:rPr>
  </w:style>
  <w:style w:type="paragraph" w:customStyle="1" w:styleId="Default">
    <w:name w:val="Default"/>
    <w:rsid w:val="00D221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2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F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F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F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urcari.win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F45CFC-1AEC-C24D-9991-1FA39268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Filipovici, Silviu (BCH-MEW)</dc:creator>
  <cp:lastModifiedBy>Microsoft Office User</cp:lastModifiedBy>
  <cp:revision>2</cp:revision>
  <cp:lastPrinted>2018-02-06T11:33:00Z</cp:lastPrinted>
  <dcterms:created xsi:type="dcterms:W3CDTF">2018-02-15T10:57:00Z</dcterms:created>
  <dcterms:modified xsi:type="dcterms:W3CDTF">2018-02-15T10:57:00Z</dcterms:modified>
</cp:coreProperties>
</file>