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4B583F" w14:textId="77777777" w:rsidR="00F72F05" w:rsidRPr="009B1E26" w:rsidRDefault="005068C9" w:rsidP="005068C9">
      <w:pPr>
        <w:autoSpaceDE w:val="0"/>
        <w:autoSpaceDN w:val="0"/>
        <w:adjustRightInd w:val="0"/>
        <w:spacing w:before="120" w:after="120" w:line="290" w:lineRule="auto"/>
        <w:jc w:val="center"/>
        <w:rPr>
          <w:rFonts w:ascii="Arial" w:hAnsi="Arial" w:cs="Arial"/>
          <w:bCs/>
          <w:sz w:val="20"/>
          <w:szCs w:val="20"/>
          <w:lang w:val="en-GB"/>
        </w:rPr>
      </w:pPr>
      <w:r w:rsidRPr="009B1E26">
        <w:rPr>
          <w:rFonts w:ascii="Arial" w:hAnsi="Arial" w:cs="Arial"/>
          <w:bCs/>
          <w:sz w:val="20"/>
          <w:szCs w:val="20"/>
          <w:lang w:val="en-GB"/>
        </w:rPr>
        <w:t>NOT TO BE ISSUED, PUBLISHED OR DISTRIBUTED, DIRECTLY OR INDIRECTLY</w:t>
      </w:r>
      <w:r w:rsidR="0038611D">
        <w:rPr>
          <w:rFonts w:ascii="Arial" w:hAnsi="Arial" w:cs="Arial"/>
          <w:bCs/>
          <w:sz w:val="20"/>
          <w:szCs w:val="20"/>
          <w:lang w:val="en-GB"/>
        </w:rPr>
        <w:t>,</w:t>
      </w:r>
      <w:r w:rsidRPr="009B1E26">
        <w:rPr>
          <w:rFonts w:ascii="Arial" w:hAnsi="Arial" w:cs="Arial"/>
          <w:bCs/>
          <w:sz w:val="20"/>
          <w:szCs w:val="20"/>
          <w:lang w:val="en-GB"/>
        </w:rPr>
        <w:t xml:space="preserve"> IN THE UNIT</w:t>
      </w:r>
      <w:r w:rsidR="005E1ABA">
        <w:rPr>
          <w:rFonts w:ascii="Arial" w:hAnsi="Arial" w:cs="Arial"/>
          <w:bCs/>
          <w:sz w:val="20"/>
          <w:szCs w:val="20"/>
          <w:lang w:val="en-GB"/>
        </w:rPr>
        <w:t xml:space="preserve">ED STATES, AUSTRALIA, CANADA, </w:t>
      </w:r>
      <w:r w:rsidRPr="009B1E26">
        <w:rPr>
          <w:rFonts w:ascii="Arial" w:hAnsi="Arial" w:cs="Arial"/>
          <w:bCs/>
          <w:sz w:val="20"/>
          <w:szCs w:val="20"/>
          <w:lang w:val="en-GB"/>
        </w:rPr>
        <w:t>JAPAN</w:t>
      </w:r>
      <w:r w:rsidR="005E1ABA">
        <w:rPr>
          <w:rFonts w:ascii="Arial" w:hAnsi="Arial" w:cs="Arial"/>
          <w:bCs/>
          <w:sz w:val="20"/>
          <w:szCs w:val="20"/>
          <w:lang w:val="en-GB"/>
        </w:rPr>
        <w:t>, NEW ZEELAND OR SOUTH AFRICA</w:t>
      </w:r>
    </w:p>
    <w:p w14:paraId="01854820" w14:textId="77777777" w:rsidR="005068C9" w:rsidRPr="009B1E26" w:rsidRDefault="005068C9" w:rsidP="005068C9">
      <w:pPr>
        <w:autoSpaceDE w:val="0"/>
        <w:autoSpaceDN w:val="0"/>
        <w:adjustRightInd w:val="0"/>
        <w:spacing w:before="120" w:after="120" w:line="290" w:lineRule="auto"/>
        <w:jc w:val="center"/>
        <w:rPr>
          <w:rFonts w:ascii="Arial" w:hAnsi="Arial" w:cs="Arial"/>
          <w:bCs/>
          <w:sz w:val="20"/>
          <w:szCs w:val="20"/>
          <w:lang w:val="en-GB"/>
        </w:rPr>
      </w:pPr>
    </w:p>
    <w:p w14:paraId="712CA1EE" w14:textId="77777777" w:rsidR="00C419E4" w:rsidRDefault="00213287" w:rsidP="00B73F97">
      <w:pPr>
        <w:autoSpaceDE w:val="0"/>
        <w:autoSpaceDN w:val="0"/>
        <w:adjustRightInd w:val="0"/>
        <w:spacing w:before="120" w:after="120" w:line="290" w:lineRule="auto"/>
        <w:jc w:val="both"/>
        <w:rPr>
          <w:rFonts w:ascii="Arial" w:hAnsi="Arial" w:cs="Arial"/>
          <w:sz w:val="20"/>
          <w:szCs w:val="20"/>
          <w:lang w:val="en-GB"/>
        </w:rPr>
      </w:pPr>
      <w:r w:rsidRPr="009B1E26">
        <w:rPr>
          <w:rFonts w:ascii="Arial" w:hAnsi="Arial" w:cs="Arial"/>
          <w:b/>
          <w:bCs/>
          <w:sz w:val="20"/>
          <w:szCs w:val="20"/>
          <w:lang w:val="en-GB"/>
        </w:rPr>
        <w:t>Admi</w:t>
      </w:r>
      <w:r w:rsidR="005068C9" w:rsidRPr="009B1E26">
        <w:rPr>
          <w:rFonts w:ascii="Arial" w:hAnsi="Arial" w:cs="Arial"/>
          <w:b/>
          <w:bCs/>
          <w:sz w:val="20"/>
          <w:szCs w:val="20"/>
          <w:lang w:val="en-GB"/>
        </w:rPr>
        <w:t>ssion of shares issued by</w:t>
      </w:r>
      <w:r w:rsidR="005E1ABA">
        <w:rPr>
          <w:rFonts w:ascii="Arial" w:hAnsi="Arial" w:cs="Arial"/>
          <w:b/>
          <w:bCs/>
          <w:sz w:val="20"/>
          <w:szCs w:val="20"/>
          <w:lang w:val="en-GB"/>
        </w:rPr>
        <w:t xml:space="preserve"> </w:t>
      </w:r>
      <w:proofErr w:type="spellStart"/>
      <w:r w:rsidR="00A34F25">
        <w:rPr>
          <w:rFonts w:ascii="Arial" w:hAnsi="Arial" w:cs="Arial"/>
          <w:b/>
          <w:bCs/>
          <w:sz w:val="20"/>
          <w:szCs w:val="20"/>
          <w:lang w:val="en-GB"/>
        </w:rPr>
        <w:t>Purcari</w:t>
      </w:r>
      <w:proofErr w:type="spellEnd"/>
      <w:r w:rsidR="00A34F25">
        <w:rPr>
          <w:rFonts w:ascii="Arial" w:hAnsi="Arial" w:cs="Arial"/>
          <w:b/>
          <w:bCs/>
          <w:sz w:val="20"/>
          <w:szCs w:val="20"/>
          <w:lang w:val="en-GB"/>
        </w:rPr>
        <w:t xml:space="preserve"> Wineries Public </w:t>
      </w:r>
      <w:r w:rsidR="005E1ABA">
        <w:rPr>
          <w:rFonts w:ascii="Arial" w:hAnsi="Arial" w:cs="Arial"/>
          <w:b/>
          <w:bCs/>
          <w:sz w:val="20"/>
          <w:szCs w:val="20"/>
          <w:lang w:val="en-GB"/>
        </w:rPr>
        <w:t>Company</w:t>
      </w:r>
      <w:r w:rsidR="00A34F25">
        <w:rPr>
          <w:rFonts w:ascii="Arial" w:hAnsi="Arial" w:cs="Arial"/>
          <w:b/>
          <w:bCs/>
          <w:sz w:val="20"/>
          <w:szCs w:val="20"/>
          <w:lang w:val="en-GB"/>
        </w:rPr>
        <w:t xml:space="preserve"> Limited</w:t>
      </w:r>
      <w:r w:rsidR="005068C9" w:rsidRPr="009B1E26">
        <w:rPr>
          <w:rFonts w:ascii="Arial" w:hAnsi="Arial" w:cs="Arial"/>
          <w:b/>
          <w:bCs/>
          <w:sz w:val="20"/>
          <w:szCs w:val="20"/>
          <w:lang w:val="en-GB"/>
        </w:rPr>
        <w:t xml:space="preserve"> to trading on the spot regulated market operated by the Bucharest Stock Exchange</w:t>
      </w:r>
    </w:p>
    <w:p w14:paraId="584D0B0A" w14:textId="77777777" w:rsidR="005E1ABA" w:rsidRPr="009B1E26" w:rsidRDefault="005E1ABA" w:rsidP="00B73F97">
      <w:pPr>
        <w:autoSpaceDE w:val="0"/>
        <w:autoSpaceDN w:val="0"/>
        <w:adjustRightInd w:val="0"/>
        <w:spacing w:before="120" w:after="120" w:line="290" w:lineRule="auto"/>
        <w:jc w:val="both"/>
        <w:rPr>
          <w:rFonts w:ascii="Arial" w:hAnsi="Arial" w:cs="Arial"/>
          <w:sz w:val="20"/>
          <w:szCs w:val="20"/>
          <w:lang w:val="en-GB"/>
        </w:rPr>
      </w:pPr>
    </w:p>
    <w:p w14:paraId="1EAD7373" w14:textId="77777777" w:rsidR="00105F40" w:rsidRPr="005E1ABA" w:rsidRDefault="005E1ABA" w:rsidP="00B73F97">
      <w:pPr>
        <w:autoSpaceDE w:val="0"/>
        <w:autoSpaceDN w:val="0"/>
        <w:adjustRightInd w:val="0"/>
        <w:spacing w:before="120" w:after="120" w:line="290" w:lineRule="auto"/>
        <w:jc w:val="both"/>
        <w:rPr>
          <w:rFonts w:ascii="Arial" w:hAnsi="Arial" w:cs="Arial"/>
          <w:b/>
          <w:sz w:val="20"/>
          <w:szCs w:val="20"/>
          <w:lang w:val="en-GB"/>
        </w:rPr>
      </w:pPr>
      <w:r>
        <w:rPr>
          <w:rFonts w:ascii="Arial" w:hAnsi="Arial" w:cs="Arial"/>
          <w:b/>
          <w:sz w:val="20"/>
          <w:szCs w:val="20"/>
          <w:lang w:val="en-GB"/>
        </w:rPr>
        <w:t>1</w:t>
      </w:r>
      <w:r w:rsidR="00FC06CC">
        <w:rPr>
          <w:rFonts w:ascii="Arial" w:hAnsi="Arial" w:cs="Arial"/>
          <w:b/>
          <w:sz w:val="20"/>
          <w:szCs w:val="20"/>
          <w:lang w:val="en-GB"/>
        </w:rPr>
        <w:t>4</w:t>
      </w:r>
      <w:r>
        <w:rPr>
          <w:rFonts w:ascii="Arial" w:hAnsi="Arial" w:cs="Arial"/>
          <w:b/>
          <w:sz w:val="20"/>
          <w:szCs w:val="20"/>
          <w:lang w:val="en-GB"/>
        </w:rPr>
        <w:t xml:space="preserve"> February 2018</w:t>
      </w:r>
    </w:p>
    <w:p w14:paraId="7F32BD11" w14:textId="77777777" w:rsidR="00213287" w:rsidRPr="009B1E26" w:rsidRDefault="005E1ABA" w:rsidP="00B73F97">
      <w:pPr>
        <w:autoSpaceDE w:val="0"/>
        <w:autoSpaceDN w:val="0"/>
        <w:adjustRightInd w:val="0"/>
        <w:spacing w:before="120" w:after="120" w:line="290" w:lineRule="auto"/>
        <w:jc w:val="both"/>
        <w:rPr>
          <w:rFonts w:ascii="Arial" w:hAnsi="Arial" w:cs="Arial"/>
          <w:sz w:val="20"/>
          <w:szCs w:val="20"/>
          <w:lang w:val="en-GB"/>
        </w:rPr>
      </w:pPr>
      <w:proofErr w:type="spellStart"/>
      <w:r>
        <w:rPr>
          <w:rFonts w:ascii="Arial" w:hAnsi="Arial" w:cs="Arial"/>
          <w:sz w:val="20"/>
          <w:szCs w:val="20"/>
          <w:lang w:val="en-GB"/>
        </w:rPr>
        <w:t>Pu</w:t>
      </w:r>
      <w:r w:rsidR="00A34F25">
        <w:rPr>
          <w:rFonts w:ascii="Arial" w:hAnsi="Arial" w:cs="Arial"/>
          <w:sz w:val="20"/>
          <w:szCs w:val="20"/>
          <w:lang w:val="en-GB"/>
        </w:rPr>
        <w:t>rcari</w:t>
      </w:r>
      <w:proofErr w:type="spellEnd"/>
      <w:r w:rsidR="00A34F25">
        <w:rPr>
          <w:rFonts w:ascii="Arial" w:hAnsi="Arial" w:cs="Arial"/>
          <w:sz w:val="20"/>
          <w:szCs w:val="20"/>
          <w:lang w:val="en-GB"/>
        </w:rPr>
        <w:t xml:space="preserve"> Wineries Public </w:t>
      </w:r>
      <w:r>
        <w:rPr>
          <w:rFonts w:ascii="Arial" w:hAnsi="Arial" w:cs="Arial"/>
          <w:sz w:val="20"/>
          <w:szCs w:val="20"/>
          <w:lang w:val="en-GB"/>
        </w:rPr>
        <w:t>Company</w:t>
      </w:r>
      <w:r w:rsidR="00A34F25">
        <w:rPr>
          <w:rFonts w:ascii="Arial" w:hAnsi="Arial" w:cs="Arial"/>
          <w:sz w:val="20"/>
          <w:szCs w:val="20"/>
          <w:lang w:val="en-GB"/>
        </w:rPr>
        <w:t xml:space="preserve"> Limited</w:t>
      </w:r>
      <w:r w:rsidR="00D41ACE" w:rsidRPr="009B1E26">
        <w:rPr>
          <w:rFonts w:ascii="Arial" w:hAnsi="Arial" w:cs="Arial"/>
          <w:sz w:val="20"/>
          <w:szCs w:val="20"/>
          <w:lang w:val="en-GB"/>
        </w:rPr>
        <w:t xml:space="preserve"> (</w:t>
      </w:r>
      <w:r w:rsidR="005068C9" w:rsidRPr="009B1E26">
        <w:rPr>
          <w:rFonts w:ascii="Arial" w:hAnsi="Arial" w:cs="Arial"/>
          <w:sz w:val="20"/>
          <w:szCs w:val="20"/>
          <w:lang w:val="en-GB"/>
        </w:rPr>
        <w:t>the</w:t>
      </w:r>
      <w:r w:rsidR="00D41ACE" w:rsidRPr="009B1E26">
        <w:rPr>
          <w:rFonts w:ascii="Arial" w:hAnsi="Arial" w:cs="Arial"/>
          <w:sz w:val="20"/>
          <w:szCs w:val="20"/>
          <w:lang w:val="en-GB"/>
        </w:rPr>
        <w:t xml:space="preserve"> "</w:t>
      </w:r>
      <w:r w:rsidR="005068C9" w:rsidRPr="009B1E26">
        <w:rPr>
          <w:rFonts w:ascii="Arial" w:hAnsi="Arial" w:cs="Arial"/>
          <w:b/>
          <w:sz w:val="20"/>
          <w:szCs w:val="20"/>
          <w:lang w:val="en-GB"/>
        </w:rPr>
        <w:t>Company</w:t>
      </w:r>
      <w:r w:rsidR="00D41ACE" w:rsidRPr="009B1E26">
        <w:rPr>
          <w:rFonts w:ascii="Arial" w:hAnsi="Arial" w:cs="Arial"/>
          <w:sz w:val="20"/>
          <w:szCs w:val="20"/>
          <w:lang w:val="en-GB"/>
        </w:rPr>
        <w:t>")</w:t>
      </w:r>
      <w:r w:rsidR="00AA21C5" w:rsidRPr="009B1E26">
        <w:rPr>
          <w:rFonts w:ascii="Arial" w:hAnsi="Arial" w:cs="Arial"/>
          <w:sz w:val="20"/>
          <w:szCs w:val="20"/>
          <w:lang w:val="en-GB"/>
        </w:rPr>
        <w:t xml:space="preserve"> </w:t>
      </w:r>
      <w:r w:rsidR="009B1E26">
        <w:rPr>
          <w:rFonts w:ascii="Arial" w:hAnsi="Arial" w:cs="Arial"/>
          <w:sz w:val="20"/>
          <w:szCs w:val="20"/>
          <w:lang w:val="en-GB"/>
        </w:rPr>
        <w:t>announces that the Bucharest Stock Exchange (</w:t>
      </w:r>
      <w:r w:rsidR="00A45E7D" w:rsidRPr="009B1E26">
        <w:rPr>
          <w:rFonts w:ascii="Arial" w:hAnsi="Arial" w:cs="Arial"/>
          <w:i/>
          <w:sz w:val="20"/>
          <w:szCs w:val="20"/>
          <w:lang w:val="en-GB"/>
        </w:rPr>
        <w:t xml:space="preserve">Bursa de </w:t>
      </w:r>
      <w:proofErr w:type="spellStart"/>
      <w:r w:rsidR="00A45E7D" w:rsidRPr="009B1E26">
        <w:rPr>
          <w:rFonts w:ascii="Arial" w:hAnsi="Arial" w:cs="Arial"/>
          <w:i/>
          <w:sz w:val="20"/>
          <w:szCs w:val="20"/>
          <w:lang w:val="en-GB"/>
        </w:rPr>
        <w:t>Valori</w:t>
      </w:r>
      <w:proofErr w:type="spellEnd"/>
      <w:r w:rsidR="00A45E7D" w:rsidRPr="009B1E26">
        <w:rPr>
          <w:rFonts w:ascii="Arial" w:hAnsi="Arial" w:cs="Arial"/>
          <w:i/>
          <w:sz w:val="20"/>
          <w:szCs w:val="20"/>
          <w:lang w:val="en-GB"/>
        </w:rPr>
        <w:t xml:space="preserve"> </w:t>
      </w:r>
      <w:proofErr w:type="spellStart"/>
      <w:r w:rsidR="00A45E7D" w:rsidRPr="009B1E26">
        <w:rPr>
          <w:rFonts w:ascii="Arial" w:hAnsi="Arial" w:cs="Arial"/>
          <w:i/>
          <w:sz w:val="20"/>
          <w:szCs w:val="20"/>
          <w:lang w:val="en-GB"/>
        </w:rPr>
        <w:t>București</w:t>
      </w:r>
      <w:proofErr w:type="spellEnd"/>
      <w:r w:rsidR="000477A0" w:rsidRPr="009B1E26">
        <w:rPr>
          <w:rFonts w:ascii="Arial" w:hAnsi="Arial" w:cs="Arial"/>
          <w:i/>
          <w:sz w:val="20"/>
          <w:szCs w:val="20"/>
          <w:lang w:val="en-GB"/>
        </w:rPr>
        <w:t xml:space="preserve"> S.A.</w:t>
      </w:r>
      <w:r w:rsidR="009B1E26">
        <w:rPr>
          <w:rFonts w:ascii="Arial" w:hAnsi="Arial" w:cs="Arial"/>
          <w:sz w:val="20"/>
          <w:szCs w:val="20"/>
          <w:lang w:val="en-GB"/>
        </w:rPr>
        <w:t>)</w:t>
      </w:r>
      <w:r w:rsidR="000477A0" w:rsidRPr="009B1E26">
        <w:rPr>
          <w:rFonts w:ascii="Arial" w:hAnsi="Arial" w:cs="Arial"/>
          <w:sz w:val="20"/>
          <w:szCs w:val="20"/>
          <w:lang w:val="en-GB"/>
        </w:rPr>
        <w:t>,</w:t>
      </w:r>
      <w:r w:rsidR="00422679">
        <w:rPr>
          <w:rFonts w:ascii="Arial" w:hAnsi="Arial" w:cs="Arial"/>
          <w:sz w:val="20"/>
          <w:szCs w:val="20"/>
          <w:lang w:val="en-GB"/>
        </w:rPr>
        <w:t xml:space="preserve"> as </w:t>
      </w:r>
      <w:r w:rsidR="00CA7D21">
        <w:rPr>
          <w:rFonts w:ascii="Arial" w:hAnsi="Arial" w:cs="Arial"/>
          <w:sz w:val="20"/>
          <w:szCs w:val="20"/>
          <w:lang w:val="en-GB"/>
        </w:rPr>
        <w:t xml:space="preserve">the </w:t>
      </w:r>
      <w:r w:rsidR="00422679">
        <w:rPr>
          <w:rFonts w:ascii="Arial" w:hAnsi="Arial" w:cs="Arial"/>
          <w:sz w:val="20"/>
          <w:szCs w:val="20"/>
          <w:lang w:val="en-GB"/>
        </w:rPr>
        <w:t>operator of the regulated market</w:t>
      </w:r>
      <w:r w:rsidR="000477A0" w:rsidRPr="009B1E26">
        <w:rPr>
          <w:rFonts w:ascii="Arial" w:hAnsi="Arial" w:cs="Arial"/>
          <w:sz w:val="20"/>
          <w:szCs w:val="20"/>
          <w:lang w:val="en-GB"/>
        </w:rPr>
        <w:t xml:space="preserve"> (</w:t>
      </w:r>
      <w:r w:rsidR="00422679">
        <w:rPr>
          <w:rFonts w:ascii="Arial" w:hAnsi="Arial" w:cs="Arial"/>
          <w:sz w:val="20"/>
          <w:szCs w:val="20"/>
          <w:lang w:val="en-GB"/>
        </w:rPr>
        <w:t xml:space="preserve">the </w:t>
      </w:r>
      <w:r w:rsidR="000477A0" w:rsidRPr="009B1E26">
        <w:rPr>
          <w:rFonts w:ascii="Arial" w:hAnsi="Arial" w:cs="Arial"/>
          <w:sz w:val="20"/>
          <w:szCs w:val="20"/>
          <w:lang w:val="en-GB"/>
        </w:rPr>
        <w:t>"</w:t>
      </w:r>
      <w:r w:rsidR="000477A0" w:rsidRPr="009B1E26">
        <w:rPr>
          <w:rFonts w:ascii="Arial" w:hAnsi="Arial" w:cs="Arial"/>
          <w:b/>
          <w:sz w:val="20"/>
          <w:szCs w:val="20"/>
          <w:lang w:val="en-GB"/>
        </w:rPr>
        <w:t>B</w:t>
      </w:r>
      <w:r w:rsidR="00422679">
        <w:rPr>
          <w:rFonts w:ascii="Arial" w:hAnsi="Arial" w:cs="Arial"/>
          <w:b/>
          <w:sz w:val="20"/>
          <w:szCs w:val="20"/>
          <w:lang w:val="en-GB"/>
        </w:rPr>
        <w:t>SE</w:t>
      </w:r>
      <w:r w:rsidR="000477A0" w:rsidRPr="009B1E26">
        <w:rPr>
          <w:rFonts w:ascii="Arial" w:hAnsi="Arial" w:cs="Arial"/>
          <w:sz w:val="20"/>
          <w:szCs w:val="20"/>
          <w:lang w:val="en-GB"/>
        </w:rPr>
        <w:t>")</w:t>
      </w:r>
      <w:r w:rsidR="00CA7D21">
        <w:rPr>
          <w:rFonts w:ascii="Arial" w:hAnsi="Arial" w:cs="Arial"/>
          <w:sz w:val="20"/>
          <w:szCs w:val="20"/>
          <w:lang w:val="en-GB"/>
        </w:rPr>
        <w:t>,</w:t>
      </w:r>
      <w:r w:rsidR="00A45E7D" w:rsidRPr="009B1E26">
        <w:rPr>
          <w:rFonts w:ascii="Arial" w:hAnsi="Arial" w:cs="Arial"/>
          <w:sz w:val="20"/>
          <w:szCs w:val="20"/>
          <w:lang w:val="en-GB"/>
        </w:rPr>
        <w:t xml:space="preserve"> </w:t>
      </w:r>
      <w:r w:rsidR="00422679">
        <w:rPr>
          <w:rFonts w:ascii="Arial" w:hAnsi="Arial" w:cs="Arial"/>
          <w:sz w:val="20"/>
          <w:szCs w:val="20"/>
          <w:lang w:val="en-GB"/>
        </w:rPr>
        <w:t xml:space="preserve">approved the Company's application for admission of the shares issued by the Company to trading on the spot regulated market operated by the BSE, </w:t>
      </w:r>
      <w:r w:rsidR="00FB22C1">
        <w:rPr>
          <w:rFonts w:ascii="Arial" w:hAnsi="Arial" w:cs="Arial"/>
          <w:sz w:val="20"/>
          <w:szCs w:val="20"/>
          <w:lang w:val="en-GB"/>
        </w:rPr>
        <w:t>in the "</w:t>
      </w:r>
      <w:r>
        <w:rPr>
          <w:rFonts w:ascii="Arial" w:hAnsi="Arial" w:cs="Arial"/>
          <w:sz w:val="20"/>
          <w:szCs w:val="20"/>
          <w:lang w:val="en-GB"/>
        </w:rPr>
        <w:t>International Shares</w:t>
      </w:r>
      <w:r w:rsidR="00FB22C1">
        <w:rPr>
          <w:rFonts w:ascii="Arial" w:hAnsi="Arial" w:cs="Arial"/>
          <w:sz w:val="20"/>
          <w:szCs w:val="20"/>
          <w:lang w:val="en-GB"/>
        </w:rPr>
        <w:t>" tier, having the</w:t>
      </w:r>
      <w:r w:rsidR="00422679">
        <w:rPr>
          <w:rFonts w:ascii="Arial" w:hAnsi="Arial" w:cs="Arial"/>
          <w:sz w:val="20"/>
          <w:szCs w:val="20"/>
          <w:lang w:val="en-GB"/>
        </w:rPr>
        <w:t xml:space="preserve"> market symbol </w:t>
      </w:r>
      <w:r w:rsidR="004443AB" w:rsidRPr="009B1E26">
        <w:rPr>
          <w:rFonts w:ascii="Arial" w:hAnsi="Arial" w:cs="Arial"/>
          <w:sz w:val="20"/>
          <w:szCs w:val="20"/>
          <w:lang w:val="en-GB"/>
        </w:rPr>
        <w:t>"</w:t>
      </w:r>
      <w:r w:rsidR="00AF52B7">
        <w:rPr>
          <w:rFonts w:ascii="Arial" w:hAnsi="Arial" w:cs="Arial"/>
          <w:b/>
          <w:sz w:val="20"/>
          <w:szCs w:val="20"/>
          <w:lang w:val="en-GB"/>
        </w:rPr>
        <w:t>WINE</w:t>
      </w:r>
      <w:r w:rsidR="004443AB" w:rsidRPr="009B1E26">
        <w:rPr>
          <w:rFonts w:ascii="Arial" w:hAnsi="Arial" w:cs="Arial"/>
          <w:sz w:val="20"/>
          <w:szCs w:val="20"/>
          <w:lang w:val="en-GB"/>
        </w:rPr>
        <w:t xml:space="preserve">". </w:t>
      </w:r>
      <w:r w:rsidR="00FB22C1">
        <w:rPr>
          <w:rFonts w:ascii="Arial" w:hAnsi="Arial" w:cs="Arial"/>
          <w:sz w:val="20"/>
          <w:szCs w:val="20"/>
          <w:lang w:val="en-GB"/>
        </w:rPr>
        <w:t>The first trading date for the s</w:t>
      </w:r>
      <w:r w:rsidR="00AF52B7">
        <w:rPr>
          <w:rFonts w:ascii="Arial" w:hAnsi="Arial" w:cs="Arial"/>
          <w:sz w:val="20"/>
          <w:szCs w:val="20"/>
          <w:lang w:val="en-GB"/>
        </w:rPr>
        <w:t xml:space="preserve">hares issued by the Company </w:t>
      </w:r>
      <w:r w:rsidR="00796EAE">
        <w:rPr>
          <w:rFonts w:ascii="Arial" w:hAnsi="Arial" w:cs="Arial"/>
          <w:sz w:val="20"/>
          <w:szCs w:val="20"/>
          <w:lang w:val="en-GB"/>
        </w:rPr>
        <w:t>is</w:t>
      </w:r>
      <w:bookmarkStart w:id="0" w:name="_GoBack"/>
      <w:bookmarkEnd w:id="0"/>
      <w:r w:rsidR="00FC06CC">
        <w:rPr>
          <w:rFonts w:ascii="Arial" w:hAnsi="Arial" w:cs="Arial"/>
          <w:sz w:val="20"/>
          <w:szCs w:val="20"/>
          <w:lang w:val="en-GB"/>
        </w:rPr>
        <w:t xml:space="preserve"> </w:t>
      </w:r>
      <w:r w:rsidR="00AF52B7">
        <w:rPr>
          <w:rFonts w:ascii="Arial" w:hAnsi="Arial" w:cs="Arial"/>
          <w:sz w:val="20"/>
          <w:szCs w:val="20"/>
          <w:lang w:val="en-GB"/>
        </w:rPr>
        <w:t>1</w:t>
      </w:r>
      <w:r w:rsidR="00FC06CC">
        <w:rPr>
          <w:rFonts w:ascii="Arial" w:hAnsi="Arial" w:cs="Arial"/>
          <w:sz w:val="20"/>
          <w:szCs w:val="20"/>
          <w:lang w:val="en-GB"/>
        </w:rPr>
        <w:t>5</w:t>
      </w:r>
      <w:r w:rsidR="00AF52B7">
        <w:rPr>
          <w:rFonts w:ascii="Arial" w:hAnsi="Arial" w:cs="Arial"/>
          <w:sz w:val="20"/>
          <w:szCs w:val="20"/>
          <w:lang w:val="en-GB"/>
        </w:rPr>
        <w:t xml:space="preserve"> February 2018</w:t>
      </w:r>
      <w:r w:rsidR="00A45E7D" w:rsidRPr="009B1E26">
        <w:rPr>
          <w:rFonts w:ascii="Arial" w:hAnsi="Arial" w:cs="Arial"/>
          <w:sz w:val="20"/>
          <w:szCs w:val="20"/>
          <w:lang w:val="en-GB"/>
        </w:rPr>
        <w:t>.</w:t>
      </w:r>
    </w:p>
    <w:p w14:paraId="588C4184" w14:textId="77777777" w:rsidR="004443AB" w:rsidRDefault="00FB22C1" w:rsidP="00FB22C1">
      <w:pPr>
        <w:autoSpaceDE w:val="0"/>
        <w:autoSpaceDN w:val="0"/>
        <w:adjustRightInd w:val="0"/>
        <w:spacing w:before="120" w:after="120" w:line="290" w:lineRule="auto"/>
        <w:jc w:val="both"/>
        <w:rPr>
          <w:rFonts w:ascii="Arial" w:hAnsi="Arial" w:cs="Arial"/>
          <w:sz w:val="20"/>
          <w:szCs w:val="20"/>
          <w:lang w:val="en-GB"/>
        </w:rPr>
      </w:pPr>
      <w:r>
        <w:rPr>
          <w:rFonts w:ascii="Arial" w:hAnsi="Arial" w:cs="Arial"/>
          <w:sz w:val="20"/>
          <w:szCs w:val="20"/>
          <w:lang w:val="en-GB"/>
        </w:rPr>
        <w:t>The admission of shares to trading occurs after the successful closing of the initial public offering</w:t>
      </w:r>
      <w:r w:rsidR="00BA589F">
        <w:rPr>
          <w:rFonts w:ascii="Arial" w:hAnsi="Arial" w:cs="Arial"/>
          <w:sz w:val="20"/>
          <w:szCs w:val="20"/>
          <w:lang w:val="en-GB"/>
        </w:rPr>
        <w:t xml:space="preserve"> of </w:t>
      </w:r>
      <w:r w:rsidR="00EC699C">
        <w:rPr>
          <w:rFonts w:ascii="Arial" w:hAnsi="Arial" w:cs="Arial"/>
          <w:sz w:val="20"/>
          <w:szCs w:val="20"/>
          <w:lang w:val="en-GB"/>
        </w:rPr>
        <w:t>9,</w:t>
      </w:r>
      <w:r w:rsidR="00AF52B7">
        <w:rPr>
          <w:rFonts w:ascii="Arial" w:hAnsi="Arial" w:cs="Arial"/>
          <w:sz w:val="20"/>
          <w:szCs w:val="20"/>
          <w:lang w:val="en-GB"/>
        </w:rPr>
        <w:t>800</w:t>
      </w:r>
      <w:r w:rsidR="00EC699C">
        <w:rPr>
          <w:rFonts w:ascii="Arial" w:hAnsi="Arial" w:cs="Arial"/>
          <w:sz w:val="20"/>
          <w:szCs w:val="20"/>
          <w:lang w:val="en-GB"/>
        </w:rPr>
        <w:t>,</w:t>
      </w:r>
      <w:r w:rsidR="00AF52B7">
        <w:rPr>
          <w:rFonts w:ascii="Arial" w:hAnsi="Arial" w:cs="Arial"/>
          <w:sz w:val="20"/>
          <w:szCs w:val="20"/>
          <w:lang w:val="en-GB"/>
        </w:rPr>
        <w:t>000</w:t>
      </w:r>
      <w:r w:rsidR="00EC699C">
        <w:rPr>
          <w:rFonts w:ascii="Arial" w:hAnsi="Arial" w:cs="Arial"/>
          <w:sz w:val="20"/>
          <w:szCs w:val="20"/>
          <w:lang w:val="en-GB"/>
        </w:rPr>
        <w:t xml:space="preserve"> secondary </w:t>
      </w:r>
      <w:r w:rsidR="00BA589F">
        <w:rPr>
          <w:rFonts w:ascii="Arial" w:hAnsi="Arial" w:cs="Arial"/>
          <w:sz w:val="20"/>
          <w:szCs w:val="20"/>
          <w:lang w:val="en-GB"/>
        </w:rPr>
        <w:t>shares</w:t>
      </w:r>
      <w:r w:rsidR="00FC06CC">
        <w:rPr>
          <w:rFonts w:ascii="Arial" w:hAnsi="Arial" w:cs="Arial"/>
          <w:sz w:val="20"/>
          <w:szCs w:val="20"/>
          <w:lang w:val="en-GB"/>
        </w:rPr>
        <w:t>,</w:t>
      </w:r>
      <w:r w:rsidR="00AF52B7">
        <w:rPr>
          <w:rFonts w:ascii="Arial" w:hAnsi="Arial" w:cs="Arial"/>
          <w:sz w:val="20"/>
          <w:szCs w:val="20"/>
          <w:lang w:val="en-GB"/>
        </w:rPr>
        <w:t xml:space="preserve"> carried out from 29 January 2018 to 8 February 2018</w:t>
      </w:r>
      <w:r w:rsidR="00FC06CC">
        <w:rPr>
          <w:rFonts w:ascii="Arial" w:hAnsi="Arial" w:cs="Arial"/>
          <w:sz w:val="20"/>
          <w:szCs w:val="20"/>
          <w:lang w:val="en-GB"/>
        </w:rPr>
        <w:t>,</w:t>
      </w:r>
      <w:r>
        <w:rPr>
          <w:rFonts w:ascii="Arial" w:hAnsi="Arial" w:cs="Arial"/>
          <w:sz w:val="20"/>
          <w:szCs w:val="20"/>
          <w:lang w:val="en-GB"/>
        </w:rPr>
        <w:t xml:space="preserve"> by </w:t>
      </w:r>
      <w:r w:rsidR="00AF52B7">
        <w:rPr>
          <w:rFonts w:ascii="Arial" w:hAnsi="Arial" w:cs="Arial"/>
          <w:sz w:val="20"/>
          <w:szCs w:val="20"/>
          <w:lang w:val="en-GB"/>
        </w:rPr>
        <w:t xml:space="preserve">Lorimer Ventures Limited, </w:t>
      </w:r>
      <w:proofErr w:type="spellStart"/>
      <w:r w:rsidR="00AF52B7">
        <w:rPr>
          <w:rFonts w:ascii="Arial" w:hAnsi="Arial" w:cs="Arial"/>
          <w:sz w:val="20"/>
          <w:szCs w:val="20"/>
          <w:lang w:val="en-GB"/>
        </w:rPr>
        <w:t>Amboselt</w:t>
      </w:r>
      <w:proofErr w:type="spellEnd"/>
      <w:r w:rsidR="00AF52B7">
        <w:rPr>
          <w:rFonts w:ascii="Arial" w:hAnsi="Arial" w:cs="Arial"/>
          <w:sz w:val="20"/>
          <w:szCs w:val="20"/>
          <w:lang w:val="en-GB"/>
        </w:rPr>
        <w:t xml:space="preserve"> Universal Inc. and</w:t>
      </w:r>
      <w:r w:rsidR="00D8043A" w:rsidRPr="009B1E26">
        <w:rPr>
          <w:rFonts w:ascii="Arial" w:hAnsi="Arial" w:cs="Arial"/>
          <w:sz w:val="20"/>
          <w:szCs w:val="20"/>
          <w:lang w:val="en-GB"/>
        </w:rPr>
        <w:t xml:space="preserve"> </w:t>
      </w:r>
      <w:r w:rsidR="00AF52B7">
        <w:rPr>
          <w:rFonts w:ascii="Arial" w:hAnsi="Arial" w:cs="Arial"/>
          <w:sz w:val="20"/>
          <w:szCs w:val="20"/>
          <w:lang w:val="en-GB"/>
        </w:rPr>
        <w:t>International Finance Corporation</w:t>
      </w:r>
      <w:r w:rsidR="00FC06CC">
        <w:rPr>
          <w:rFonts w:ascii="Arial" w:hAnsi="Arial" w:cs="Arial"/>
          <w:sz w:val="20"/>
          <w:szCs w:val="20"/>
          <w:lang w:val="en-GB"/>
        </w:rPr>
        <w:t>, as shareholders of the Company,</w:t>
      </w:r>
      <w:r w:rsidR="00AF52B7">
        <w:rPr>
          <w:rFonts w:ascii="Arial" w:hAnsi="Arial" w:cs="Arial"/>
          <w:sz w:val="20"/>
          <w:szCs w:val="20"/>
          <w:lang w:val="en-GB"/>
        </w:rPr>
        <w:t xml:space="preserve"> </w:t>
      </w:r>
      <w:r w:rsidR="00CC1E70">
        <w:rPr>
          <w:rFonts w:ascii="Arial" w:hAnsi="Arial" w:cs="Arial"/>
          <w:sz w:val="20"/>
          <w:szCs w:val="20"/>
          <w:lang w:val="en-GB"/>
        </w:rPr>
        <w:t>based on the public offering prospectus</w:t>
      </w:r>
      <w:r w:rsidR="00EA0366">
        <w:rPr>
          <w:rFonts w:ascii="Arial" w:hAnsi="Arial" w:cs="Arial"/>
          <w:sz w:val="20"/>
          <w:szCs w:val="20"/>
          <w:lang w:val="en-GB"/>
        </w:rPr>
        <w:t xml:space="preserve"> (the </w:t>
      </w:r>
      <w:r w:rsidR="001A52F1">
        <w:rPr>
          <w:rFonts w:ascii="Arial" w:hAnsi="Arial" w:cs="Arial"/>
          <w:sz w:val="20"/>
          <w:szCs w:val="20"/>
          <w:lang w:val="ro-RO"/>
        </w:rPr>
        <w:t>„</w:t>
      </w:r>
      <w:r w:rsidR="00EA0366" w:rsidRPr="00EA0366">
        <w:rPr>
          <w:rFonts w:ascii="Arial" w:hAnsi="Arial" w:cs="Arial"/>
          <w:b/>
          <w:sz w:val="20"/>
          <w:szCs w:val="20"/>
          <w:lang w:val="en-GB"/>
        </w:rPr>
        <w:t>Prospectus</w:t>
      </w:r>
      <w:r w:rsidR="001A52F1">
        <w:rPr>
          <w:rFonts w:ascii="Arial" w:hAnsi="Arial" w:cs="Arial"/>
          <w:sz w:val="20"/>
          <w:szCs w:val="20"/>
          <w:lang w:val="en-GB"/>
        </w:rPr>
        <w:t>”</w:t>
      </w:r>
      <w:r w:rsidR="00EA0366">
        <w:rPr>
          <w:rFonts w:ascii="Arial" w:hAnsi="Arial" w:cs="Arial"/>
          <w:sz w:val="20"/>
          <w:szCs w:val="20"/>
          <w:lang w:val="en-GB"/>
        </w:rPr>
        <w:t>)</w:t>
      </w:r>
      <w:r w:rsidR="00CC1E70">
        <w:rPr>
          <w:rFonts w:ascii="Arial" w:hAnsi="Arial" w:cs="Arial"/>
          <w:sz w:val="20"/>
          <w:szCs w:val="20"/>
          <w:lang w:val="en-GB"/>
        </w:rPr>
        <w:t xml:space="preserve"> approved by the Financial Supervisory Authority</w:t>
      </w:r>
      <w:r w:rsidR="00A67C09">
        <w:rPr>
          <w:rFonts w:ascii="Arial" w:hAnsi="Arial" w:cs="Arial"/>
          <w:sz w:val="20"/>
          <w:szCs w:val="20"/>
          <w:lang w:val="en-GB"/>
        </w:rPr>
        <w:t>'s</w:t>
      </w:r>
      <w:r w:rsidR="00CC1E70">
        <w:rPr>
          <w:rFonts w:ascii="Arial" w:hAnsi="Arial" w:cs="Arial"/>
          <w:sz w:val="20"/>
          <w:szCs w:val="20"/>
          <w:lang w:val="en-GB"/>
        </w:rPr>
        <w:t xml:space="preserve"> decision no</w:t>
      </w:r>
      <w:r w:rsidR="00DC6803" w:rsidRPr="009B1E26">
        <w:rPr>
          <w:rFonts w:ascii="Arial" w:hAnsi="Arial" w:cs="Arial"/>
          <w:sz w:val="20"/>
          <w:szCs w:val="20"/>
          <w:lang w:val="en-GB"/>
        </w:rPr>
        <w:t xml:space="preserve">. </w:t>
      </w:r>
      <w:r w:rsidR="00AF52B7">
        <w:rPr>
          <w:rFonts w:ascii="Arial" w:hAnsi="Arial" w:cs="Arial"/>
          <w:sz w:val="20"/>
          <w:szCs w:val="20"/>
          <w:lang w:val="en-GB"/>
        </w:rPr>
        <w:t>132</w:t>
      </w:r>
      <w:r w:rsidR="003C1DC3" w:rsidRPr="009B1E26">
        <w:rPr>
          <w:rFonts w:ascii="Arial" w:hAnsi="Arial" w:cs="Arial"/>
          <w:sz w:val="20"/>
          <w:szCs w:val="20"/>
          <w:lang w:val="en-GB"/>
        </w:rPr>
        <w:t xml:space="preserve"> </w:t>
      </w:r>
      <w:r w:rsidR="00CC1E70">
        <w:rPr>
          <w:rFonts w:ascii="Arial" w:hAnsi="Arial" w:cs="Arial"/>
          <w:sz w:val="20"/>
          <w:szCs w:val="20"/>
          <w:lang w:val="en-GB"/>
        </w:rPr>
        <w:t xml:space="preserve">of </w:t>
      </w:r>
      <w:r w:rsidR="00AF52B7">
        <w:rPr>
          <w:rFonts w:ascii="Arial" w:hAnsi="Arial" w:cs="Arial"/>
          <w:sz w:val="20"/>
          <w:szCs w:val="20"/>
          <w:lang w:val="en-GB"/>
        </w:rPr>
        <w:t>26 January 2018</w:t>
      </w:r>
      <w:r w:rsidR="00D022D0" w:rsidRPr="009B1E26">
        <w:rPr>
          <w:rFonts w:ascii="Arial" w:hAnsi="Arial" w:cs="Arial"/>
          <w:sz w:val="20"/>
          <w:szCs w:val="20"/>
          <w:lang w:val="en-GB"/>
        </w:rPr>
        <w:t>.</w:t>
      </w:r>
      <w:r w:rsidR="00DC6803" w:rsidRPr="009B1E26">
        <w:rPr>
          <w:rFonts w:ascii="Arial" w:hAnsi="Arial" w:cs="Arial"/>
          <w:sz w:val="20"/>
          <w:szCs w:val="20"/>
          <w:lang w:val="en-GB"/>
        </w:rPr>
        <w:t xml:space="preserve"> </w:t>
      </w:r>
    </w:p>
    <w:p w14:paraId="17BA4709" w14:textId="77777777" w:rsidR="0038611D" w:rsidRDefault="0038611D" w:rsidP="00A34F25">
      <w:pPr>
        <w:autoSpaceDE w:val="0"/>
        <w:autoSpaceDN w:val="0"/>
        <w:adjustRightInd w:val="0"/>
        <w:spacing w:before="120" w:after="120" w:line="290" w:lineRule="auto"/>
        <w:jc w:val="both"/>
        <w:rPr>
          <w:rFonts w:ascii="Arial" w:hAnsi="Arial" w:cs="Arial"/>
          <w:sz w:val="20"/>
          <w:szCs w:val="20"/>
          <w:lang w:val="en-GB"/>
        </w:rPr>
      </w:pPr>
    </w:p>
    <w:p w14:paraId="6043F531" w14:textId="77777777" w:rsidR="00A34F25" w:rsidRPr="00A34F25" w:rsidRDefault="00A34F25" w:rsidP="00A34F25">
      <w:pPr>
        <w:autoSpaceDE w:val="0"/>
        <w:autoSpaceDN w:val="0"/>
        <w:adjustRightInd w:val="0"/>
        <w:spacing w:before="120" w:after="120" w:line="290" w:lineRule="auto"/>
        <w:jc w:val="both"/>
        <w:rPr>
          <w:rFonts w:ascii="Arial" w:hAnsi="Arial" w:cs="Arial"/>
          <w:sz w:val="20"/>
          <w:szCs w:val="20"/>
          <w:lang w:val="en-GB"/>
        </w:rPr>
      </w:pPr>
      <w:r w:rsidRPr="00A34F25">
        <w:rPr>
          <w:rFonts w:ascii="Arial" w:hAnsi="Arial" w:cs="Arial"/>
          <w:sz w:val="20"/>
          <w:szCs w:val="20"/>
          <w:lang w:val="en-GB"/>
        </w:rPr>
        <w:t xml:space="preserve">The Prospectus and related documentation are available on the website of </w:t>
      </w:r>
      <w:proofErr w:type="spellStart"/>
      <w:r w:rsidRPr="00A34F25">
        <w:rPr>
          <w:rFonts w:ascii="Arial" w:hAnsi="Arial" w:cs="Arial"/>
          <w:sz w:val="20"/>
          <w:szCs w:val="20"/>
          <w:lang w:val="en-GB"/>
        </w:rPr>
        <w:t>Purcari</w:t>
      </w:r>
      <w:proofErr w:type="spellEnd"/>
      <w:r w:rsidRPr="00A34F25">
        <w:rPr>
          <w:rFonts w:ascii="Arial" w:hAnsi="Arial" w:cs="Arial"/>
          <w:sz w:val="20"/>
          <w:szCs w:val="20"/>
          <w:lang w:val="en-GB"/>
        </w:rPr>
        <w:t xml:space="preserve"> Wineries Public Company Limited</w:t>
      </w:r>
      <w:r w:rsidR="0038611D">
        <w:rPr>
          <w:rFonts w:ascii="Arial" w:hAnsi="Arial" w:cs="Arial"/>
          <w:sz w:val="20"/>
          <w:szCs w:val="20"/>
          <w:lang w:val="en-GB"/>
        </w:rPr>
        <w:t xml:space="preserve"> at</w:t>
      </w:r>
      <w:r w:rsidRPr="00A34F25">
        <w:rPr>
          <w:rFonts w:ascii="Arial" w:hAnsi="Arial" w:cs="Arial"/>
          <w:sz w:val="20"/>
          <w:szCs w:val="20"/>
          <w:lang w:val="en-GB"/>
        </w:rPr>
        <w:t xml:space="preserve"> </w:t>
      </w:r>
      <w:hyperlink r:id="rId7" w:history="1">
        <w:r w:rsidRPr="00A34F25">
          <w:rPr>
            <w:rStyle w:val="Hyperlink"/>
            <w:rFonts w:ascii="Arial" w:hAnsi="Arial" w:cs="Arial"/>
            <w:sz w:val="20"/>
            <w:szCs w:val="20"/>
            <w:lang w:val="en-GB"/>
          </w:rPr>
          <w:t>www.purcari.wine</w:t>
        </w:r>
      </w:hyperlink>
      <w:r w:rsidRPr="00A34F25">
        <w:rPr>
          <w:rFonts w:ascii="Arial" w:hAnsi="Arial" w:cs="Arial"/>
          <w:sz w:val="20"/>
          <w:szCs w:val="20"/>
          <w:lang w:val="en-GB"/>
        </w:rPr>
        <w:t xml:space="preserve">. </w:t>
      </w:r>
    </w:p>
    <w:p w14:paraId="2A22393C" w14:textId="77777777" w:rsidR="00AF52B7" w:rsidRPr="00AF52B7" w:rsidRDefault="00AF52B7" w:rsidP="00AF52B7">
      <w:pPr>
        <w:spacing w:before="120" w:after="120" w:line="288" w:lineRule="auto"/>
        <w:jc w:val="both"/>
        <w:rPr>
          <w:rFonts w:ascii="Arial" w:eastAsia="Calibri" w:hAnsi="Arial" w:cs="Arial"/>
          <w:i/>
          <w:sz w:val="20"/>
          <w:szCs w:val="20"/>
          <w:lang w:val="en-GB"/>
        </w:rPr>
      </w:pPr>
    </w:p>
    <w:p w14:paraId="7DFA83DE" w14:textId="77777777" w:rsidR="00AF52B7" w:rsidRPr="00AF52B7" w:rsidRDefault="00AF52B7" w:rsidP="00AF52B7">
      <w:pPr>
        <w:spacing w:before="120" w:after="120" w:line="288" w:lineRule="auto"/>
        <w:jc w:val="both"/>
        <w:rPr>
          <w:rFonts w:ascii="Arial" w:eastAsia="Calibri" w:hAnsi="Arial" w:cs="Arial"/>
          <w:i/>
          <w:sz w:val="20"/>
          <w:szCs w:val="20"/>
          <w:lang w:val="en-GB"/>
        </w:rPr>
      </w:pPr>
      <w:r w:rsidRPr="00AF52B7">
        <w:rPr>
          <w:rFonts w:ascii="Arial" w:eastAsia="Calibri" w:hAnsi="Arial" w:cs="Arial"/>
          <w:i/>
          <w:sz w:val="20"/>
          <w:szCs w:val="20"/>
          <w:lang w:val="en-GB"/>
        </w:rPr>
        <w:t xml:space="preserve">The approval stamp applied on the public offering prospectus does not represent a guarantee or </w:t>
      </w:r>
      <w:r w:rsidR="001A52F1">
        <w:rPr>
          <w:rFonts w:ascii="Arial" w:eastAsia="Calibri" w:hAnsi="Arial" w:cs="Arial"/>
          <w:i/>
          <w:sz w:val="20"/>
          <w:szCs w:val="20"/>
          <w:lang w:val="en-GB"/>
        </w:rPr>
        <w:t>any type of appraisal by the Financial Supervisory Authority</w:t>
      </w:r>
      <w:r w:rsidRPr="00AF52B7">
        <w:rPr>
          <w:rFonts w:ascii="Arial" w:eastAsia="Calibri" w:hAnsi="Arial" w:cs="Arial"/>
          <w:i/>
          <w:sz w:val="20"/>
          <w:szCs w:val="20"/>
          <w:lang w:val="en-GB"/>
        </w:rPr>
        <w:t xml:space="preserve"> as regards the opportunities, advantages or disadvantages, profits or risks involved by the transactions to be concluded following the acceptance of the public offer subject of the approval decision. The approval decision certifies only that the prospectus complies with the requirements of the law and of the norms adopted in its application.</w:t>
      </w:r>
    </w:p>
    <w:p w14:paraId="0EA1CA05" w14:textId="77777777" w:rsidR="00AF52B7" w:rsidRPr="00AF52B7" w:rsidRDefault="00AF52B7" w:rsidP="00AF52B7">
      <w:pPr>
        <w:spacing w:before="120" w:after="120" w:line="288" w:lineRule="auto"/>
        <w:jc w:val="both"/>
        <w:rPr>
          <w:rFonts w:ascii="Arial" w:eastAsia="Calibri" w:hAnsi="Arial" w:cs="Arial"/>
          <w:i/>
          <w:sz w:val="20"/>
          <w:szCs w:val="20"/>
          <w:lang w:val="en-GB"/>
        </w:rPr>
      </w:pPr>
      <w:r w:rsidRPr="00AF52B7">
        <w:rPr>
          <w:rFonts w:ascii="Arial" w:eastAsia="Calibri" w:hAnsi="Arial" w:cs="Arial"/>
          <w:i/>
          <w:sz w:val="20"/>
          <w:szCs w:val="20"/>
          <w:lang w:val="en-GB"/>
        </w:rPr>
        <w:t>This announcement is not an offer of securities for sale in the United States. The securities to which this announcement relates have not been registered under the US Securities Act of 1933</w:t>
      </w:r>
      <w:r w:rsidR="00911C46">
        <w:rPr>
          <w:rFonts w:ascii="Arial" w:eastAsia="Calibri" w:hAnsi="Arial" w:cs="Arial"/>
          <w:i/>
          <w:sz w:val="20"/>
          <w:szCs w:val="20"/>
          <w:lang w:val="en-GB"/>
        </w:rPr>
        <w:t xml:space="preserve">, </w:t>
      </w:r>
      <w:r w:rsidRPr="00AF52B7">
        <w:rPr>
          <w:rFonts w:ascii="Arial" w:eastAsia="Calibri" w:hAnsi="Arial" w:cs="Arial"/>
          <w:i/>
          <w:sz w:val="20"/>
          <w:szCs w:val="20"/>
          <w:lang w:val="en-GB"/>
        </w:rPr>
        <w:t>as amended</w:t>
      </w:r>
      <w:r w:rsidR="00911C46">
        <w:rPr>
          <w:rFonts w:ascii="Arial" w:eastAsia="Calibri" w:hAnsi="Arial" w:cs="Arial"/>
          <w:i/>
          <w:sz w:val="20"/>
          <w:szCs w:val="20"/>
          <w:lang w:val="en-GB"/>
        </w:rPr>
        <w:t xml:space="preserve"> </w:t>
      </w:r>
      <w:r w:rsidR="00911C46" w:rsidRPr="00911C46">
        <w:rPr>
          <w:rFonts w:ascii="Arial" w:eastAsia="Calibri" w:hAnsi="Arial" w:cs="Arial"/>
          <w:i/>
          <w:sz w:val="20"/>
          <w:szCs w:val="20"/>
          <w:lang w:val="en-GB"/>
        </w:rPr>
        <w:t>(”</w:t>
      </w:r>
      <w:r w:rsidR="00911C46" w:rsidRPr="00911C46">
        <w:rPr>
          <w:rFonts w:ascii="Arial" w:eastAsia="Calibri" w:hAnsi="Arial" w:cs="Arial"/>
          <w:b/>
          <w:i/>
          <w:sz w:val="20"/>
          <w:szCs w:val="20"/>
          <w:lang w:val="en-GB"/>
        </w:rPr>
        <w:t>US Securities Act</w:t>
      </w:r>
      <w:r w:rsidR="00911C46" w:rsidRPr="00911C46">
        <w:rPr>
          <w:rFonts w:ascii="Arial" w:eastAsia="Calibri" w:hAnsi="Arial" w:cs="Arial"/>
          <w:i/>
          <w:sz w:val="20"/>
          <w:szCs w:val="20"/>
          <w:lang w:val="en-GB"/>
        </w:rPr>
        <w:t>”)</w:t>
      </w:r>
      <w:r w:rsidRPr="00AF52B7">
        <w:rPr>
          <w:rFonts w:ascii="Arial" w:eastAsia="Calibri" w:hAnsi="Arial" w:cs="Arial"/>
          <w:i/>
          <w:sz w:val="20"/>
          <w:szCs w:val="20"/>
          <w:lang w:val="en-GB"/>
        </w:rPr>
        <w:t>, and may be offered or sold only outside the United States pursuant to Regulation S</w:t>
      </w:r>
      <w:r w:rsidR="00911C46">
        <w:rPr>
          <w:rFonts w:ascii="Arial" w:eastAsia="Calibri" w:hAnsi="Arial" w:cs="Arial"/>
          <w:i/>
          <w:sz w:val="20"/>
          <w:szCs w:val="20"/>
          <w:lang w:val="en-GB"/>
        </w:rPr>
        <w:t xml:space="preserve"> of the US Securities Act</w:t>
      </w:r>
      <w:r w:rsidRPr="00AF52B7">
        <w:rPr>
          <w:rFonts w:ascii="Arial" w:eastAsia="Calibri" w:hAnsi="Arial" w:cs="Arial"/>
          <w:i/>
          <w:sz w:val="20"/>
          <w:szCs w:val="20"/>
          <w:lang w:val="en-GB"/>
        </w:rPr>
        <w:t>.</w:t>
      </w:r>
    </w:p>
    <w:p w14:paraId="6FCFEAB8" w14:textId="77777777" w:rsidR="00AF52B7" w:rsidRPr="00AF52B7" w:rsidRDefault="00AF52B7" w:rsidP="00AF52B7">
      <w:pPr>
        <w:spacing w:before="120" w:after="120" w:line="288" w:lineRule="auto"/>
        <w:jc w:val="both"/>
        <w:rPr>
          <w:rFonts w:ascii="Arial" w:eastAsia="Calibri" w:hAnsi="Arial" w:cs="Arial"/>
          <w:i/>
          <w:sz w:val="20"/>
          <w:szCs w:val="20"/>
          <w:lang w:val="en-GB"/>
        </w:rPr>
      </w:pPr>
      <w:r w:rsidRPr="00AF52B7">
        <w:rPr>
          <w:rFonts w:ascii="Arial" w:eastAsia="Calibri" w:hAnsi="Arial" w:cs="Arial"/>
          <w:i/>
          <w:sz w:val="20"/>
          <w:szCs w:val="20"/>
          <w:lang w:val="en-GB"/>
        </w:rPr>
        <w:t xml:space="preserve">Neither the Company, nor the selling shareholders have authorized any offer to the public of securities in any Member State of the European Economic Area other than Romania. With respect to each Member State of the European Economic Area other than Romania and which has implemented the Prospectus Directive (each, a "Relevant Member State"), no action has been undertaken or will be undertaken to make an offer to the public of securities requiring a publication of a prospectus in any Relevant Member State. As a result, the securities may only be offered in Relevant Member States </w:t>
      </w:r>
      <w:r w:rsidRPr="00AF52B7">
        <w:rPr>
          <w:rFonts w:ascii="Arial" w:eastAsia="Calibri" w:hAnsi="Arial" w:cs="Arial"/>
          <w:i/>
          <w:sz w:val="20"/>
          <w:szCs w:val="20"/>
        </w:rPr>
        <w:t>(</w:t>
      </w:r>
      <w:proofErr w:type="spellStart"/>
      <w:r w:rsidRPr="00AF52B7">
        <w:rPr>
          <w:rFonts w:ascii="Arial" w:eastAsia="Calibri" w:hAnsi="Arial" w:cs="Arial"/>
          <w:i/>
          <w:sz w:val="20"/>
          <w:szCs w:val="20"/>
        </w:rPr>
        <w:t>a</w:t>
      </w:r>
      <w:proofErr w:type="spellEnd"/>
      <w:r w:rsidRPr="00AF52B7">
        <w:rPr>
          <w:rFonts w:ascii="Arial" w:eastAsia="Calibri" w:hAnsi="Arial" w:cs="Arial"/>
          <w:i/>
          <w:sz w:val="20"/>
          <w:szCs w:val="20"/>
        </w:rPr>
        <w:t xml:space="preserve">) to qualified investors within the meaning of Article 2(1)(e) of the Prospectus Directive; or (b) in any other circumstances, not requiring the Company to publish a prospectus as provided under Article 3(2) of the Prospectus Directive. For the purposes of this paragraph, the expression an “offer to the public of securities” in any Relevant Member State means the communication in any form and by any means of sufficient information on the terms </w:t>
      </w:r>
      <w:r w:rsidRPr="00AF52B7">
        <w:rPr>
          <w:rFonts w:ascii="Arial" w:eastAsia="Calibri" w:hAnsi="Arial" w:cs="Arial"/>
          <w:i/>
          <w:sz w:val="20"/>
          <w:szCs w:val="20"/>
          <w:lang w:val="en-GB"/>
        </w:rPr>
        <w:lastRenderedPageBreak/>
        <w:t>of</w:t>
      </w:r>
      <w:r w:rsidRPr="00AF52B7">
        <w:rPr>
          <w:rFonts w:ascii="Arial" w:eastAsia="Calibri" w:hAnsi="Arial" w:cs="Arial"/>
          <w:i/>
          <w:sz w:val="20"/>
          <w:szCs w:val="20"/>
        </w:rPr>
        <w:t xml:space="preserve"> the offer and the securities to be offered so as to enable an investor to decide to purchase any securities, as the same may be varied in that Member State by any measure implementing the Prospectus Directive in that Member State and the expression “Prospectus Directive” means Directive 2003/71/EC and includes any relevant implementing measure in each Relevant Member State.</w:t>
      </w:r>
    </w:p>
    <w:p w14:paraId="166C8AEF" w14:textId="77777777" w:rsidR="00AF52B7" w:rsidRPr="00AF52B7" w:rsidRDefault="00AF52B7" w:rsidP="00AF52B7">
      <w:pPr>
        <w:spacing w:before="120" w:after="120" w:line="288" w:lineRule="auto"/>
        <w:jc w:val="both"/>
        <w:rPr>
          <w:rFonts w:ascii="Arial" w:eastAsia="Calibri" w:hAnsi="Arial" w:cs="Arial"/>
          <w:i/>
          <w:sz w:val="20"/>
          <w:szCs w:val="20"/>
          <w:lang w:val="en-GB"/>
        </w:rPr>
      </w:pPr>
    </w:p>
    <w:p w14:paraId="5D1AB07D" w14:textId="77777777" w:rsidR="006279E9" w:rsidRPr="00AF52B7" w:rsidRDefault="006279E9" w:rsidP="00DB6A50">
      <w:pPr>
        <w:spacing w:before="120" w:after="120" w:line="290" w:lineRule="auto"/>
        <w:jc w:val="both"/>
        <w:rPr>
          <w:rFonts w:ascii="Arial" w:hAnsi="Arial" w:cs="Arial"/>
          <w:sz w:val="20"/>
          <w:szCs w:val="20"/>
        </w:rPr>
      </w:pPr>
    </w:p>
    <w:sectPr w:rsidR="006279E9" w:rsidRPr="00AF52B7" w:rsidSect="00A53ACF">
      <w:pgSz w:w="11906" w:h="16838" w:code="9"/>
      <w:pgMar w:top="1843" w:right="1440" w:bottom="1440" w:left="1985"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DF8B18" w14:textId="77777777" w:rsidR="0079190B" w:rsidRDefault="0079190B" w:rsidP="00D30563">
      <w:pPr>
        <w:spacing w:after="0" w:line="240" w:lineRule="auto"/>
      </w:pPr>
      <w:r>
        <w:separator/>
      </w:r>
    </w:p>
  </w:endnote>
  <w:endnote w:type="continuationSeparator" w:id="0">
    <w:p w14:paraId="45B46F65" w14:textId="77777777" w:rsidR="0079190B" w:rsidRDefault="0079190B" w:rsidP="00D305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Mangal">
    <w:panose1 w:val="02040503050203030202"/>
    <w:charset w:val="00"/>
    <w:family w:val="auto"/>
    <w:pitch w:val="variable"/>
    <w:sig w:usb0="00008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Verdana">
    <w:panose1 w:val="020B0604030504040204"/>
    <w:charset w:val="4D"/>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C12C58" w14:textId="77777777" w:rsidR="0079190B" w:rsidRDefault="0079190B" w:rsidP="00D30563">
      <w:pPr>
        <w:spacing w:after="0" w:line="240" w:lineRule="auto"/>
      </w:pPr>
      <w:r>
        <w:separator/>
      </w:r>
    </w:p>
  </w:footnote>
  <w:footnote w:type="continuationSeparator" w:id="0">
    <w:p w14:paraId="3C03C3FA" w14:textId="77777777" w:rsidR="0079190B" w:rsidRDefault="0079190B" w:rsidP="00D30563">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3279B3"/>
    <w:multiLevelType w:val="hybridMultilevel"/>
    <w:tmpl w:val="B436F2EE"/>
    <w:lvl w:ilvl="0" w:tplc="52B2C9DC">
      <w:start w:val="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5841000"/>
    <w:multiLevelType w:val="hybridMultilevel"/>
    <w:tmpl w:val="E5D0E742"/>
    <w:lvl w:ilvl="0" w:tplc="08090005">
      <w:start w:val="1"/>
      <w:numFmt w:val="bullet"/>
      <w:lvlText w:val=""/>
      <w:lvlJc w:val="left"/>
      <w:pPr>
        <w:ind w:left="720" w:hanging="360"/>
      </w:pPr>
      <w:rPr>
        <w:rFonts w:ascii="Wingdings" w:hAnsi="Wingdings" w:hint="default"/>
        <w:color w:val="auto"/>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256615A"/>
    <w:multiLevelType w:val="hybridMultilevel"/>
    <w:tmpl w:val="610C7CFA"/>
    <w:lvl w:ilvl="0" w:tplc="0809000D">
      <w:start w:val="1"/>
      <w:numFmt w:val="bullet"/>
      <w:lvlText w:val=""/>
      <w:lvlJc w:val="left"/>
      <w:pPr>
        <w:ind w:left="720" w:hanging="360"/>
      </w:pPr>
      <w:rPr>
        <w:rFonts w:ascii="Wingdings" w:hAnsi="Wingdings" w:hint="default"/>
        <w:color w:val="auto"/>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5294C72"/>
    <w:multiLevelType w:val="hybridMultilevel"/>
    <w:tmpl w:val="CB7A8D5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563"/>
    <w:rsid w:val="00011777"/>
    <w:rsid w:val="00025FCE"/>
    <w:rsid w:val="00037DC8"/>
    <w:rsid w:val="000477A0"/>
    <w:rsid w:val="000478CC"/>
    <w:rsid w:val="00047B31"/>
    <w:rsid w:val="00070C43"/>
    <w:rsid w:val="000807AD"/>
    <w:rsid w:val="000B1CC8"/>
    <w:rsid w:val="000B761E"/>
    <w:rsid w:val="000C52C3"/>
    <w:rsid w:val="00105F40"/>
    <w:rsid w:val="00117512"/>
    <w:rsid w:val="00124DF6"/>
    <w:rsid w:val="00126059"/>
    <w:rsid w:val="00144EA4"/>
    <w:rsid w:val="0015498E"/>
    <w:rsid w:val="001A1045"/>
    <w:rsid w:val="001A52F1"/>
    <w:rsid w:val="001A72D8"/>
    <w:rsid w:val="001C7DF6"/>
    <w:rsid w:val="001D5BA1"/>
    <w:rsid w:val="00213287"/>
    <w:rsid w:val="00273D6E"/>
    <w:rsid w:val="0028416F"/>
    <w:rsid w:val="002A3E9E"/>
    <w:rsid w:val="002B3A59"/>
    <w:rsid w:val="002C1F40"/>
    <w:rsid w:val="00300DFA"/>
    <w:rsid w:val="00315FA0"/>
    <w:rsid w:val="00316E81"/>
    <w:rsid w:val="00333B68"/>
    <w:rsid w:val="00356DFD"/>
    <w:rsid w:val="003807F7"/>
    <w:rsid w:val="0038611D"/>
    <w:rsid w:val="003C0B2D"/>
    <w:rsid w:val="003C1DC3"/>
    <w:rsid w:val="003E2BAF"/>
    <w:rsid w:val="003F5BA8"/>
    <w:rsid w:val="00422679"/>
    <w:rsid w:val="004443AB"/>
    <w:rsid w:val="00451D6B"/>
    <w:rsid w:val="00465448"/>
    <w:rsid w:val="00483EAB"/>
    <w:rsid w:val="004C152C"/>
    <w:rsid w:val="004C6898"/>
    <w:rsid w:val="004F3ED0"/>
    <w:rsid w:val="004F6B25"/>
    <w:rsid w:val="005068C9"/>
    <w:rsid w:val="0051239F"/>
    <w:rsid w:val="00515026"/>
    <w:rsid w:val="005411BE"/>
    <w:rsid w:val="005442BD"/>
    <w:rsid w:val="00573F4F"/>
    <w:rsid w:val="00584800"/>
    <w:rsid w:val="005855E7"/>
    <w:rsid w:val="005B1C1E"/>
    <w:rsid w:val="005D13E1"/>
    <w:rsid w:val="005E1ABA"/>
    <w:rsid w:val="005E3A90"/>
    <w:rsid w:val="005F331A"/>
    <w:rsid w:val="00611DA7"/>
    <w:rsid w:val="006136DE"/>
    <w:rsid w:val="006279E9"/>
    <w:rsid w:val="0064523C"/>
    <w:rsid w:val="00670D58"/>
    <w:rsid w:val="00696632"/>
    <w:rsid w:val="006A36A7"/>
    <w:rsid w:val="00733046"/>
    <w:rsid w:val="00735C5C"/>
    <w:rsid w:val="00757290"/>
    <w:rsid w:val="0079190B"/>
    <w:rsid w:val="00795956"/>
    <w:rsid w:val="00796EAE"/>
    <w:rsid w:val="007C7D69"/>
    <w:rsid w:val="007E2FBC"/>
    <w:rsid w:val="0081000E"/>
    <w:rsid w:val="00834542"/>
    <w:rsid w:val="008749E9"/>
    <w:rsid w:val="008851FC"/>
    <w:rsid w:val="008B431A"/>
    <w:rsid w:val="008D6C09"/>
    <w:rsid w:val="00911C46"/>
    <w:rsid w:val="009152BA"/>
    <w:rsid w:val="00930A4E"/>
    <w:rsid w:val="009946A1"/>
    <w:rsid w:val="009A1D19"/>
    <w:rsid w:val="009A5F3C"/>
    <w:rsid w:val="009B1E26"/>
    <w:rsid w:val="00A243DD"/>
    <w:rsid w:val="00A34F25"/>
    <w:rsid w:val="00A45E7D"/>
    <w:rsid w:val="00A47634"/>
    <w:rsid w:val="00A534EC"/>
    <w:rsid w:val="00A53ACF"/>
    <w:rsid w:val="00A60BC8"/>
    <w:rsid w:val="00A65223"/>
    <w:rsid w:val="00A67C09"/>
    <w:rsid w:val="00A97A8F"/>
    <w:rsid w:val="00AA21C5"/>
    <w:rsid w:val="00AD0101"/>
    <w:rsid w:val="00AD44D8"/>
    <w:rsid w:val="00AF52B7"/>
    <w:rsid w:val="00B26102"/>
    <w:rsid w:val="00B267B4"/>
    <w:rsid w:val="00B43593"/>
    <w:rsid w:val="00B5593B"/>
    <w:rsid w:val="00B61891"/>
    <w:rsid w:val="00B721E3"/>
    <w:rsid w:val="00B73F97"/>
    <w:rsid w:val="00B86821"/>
    <w:rsid w:val="00BA589F"/>
    <w:rsid w:val="00BB5DA4"/>
    <w:rsid w:val="00BD02D4"/>
    <w:rsid w:val="00C419E4"/>
    <w:rsid w:val="00C71184"/>
    <w:rsid w:val="00C7489D"/>
    <w:rsid w:val="00C8540C"/>
    <w:rsid w:val="00C91658"/>
    <w:rsid w:val="00C955E6"/>
    <w:rsid w:val="00CA7D21"/>
    <w:rsid w:val="00CC1E70"/>
    <w:rsid w:val="00CC30F7"/>
    <w:rsid w:val="00CE3EE6"/>
    <w:rsid w:val="00CF02FD"/>
    <w:rsid w:val="00D022D0"/>
    <w:rsid w:val="00D22149"/>
    <w:rsid w:val="00D30563"/>
    <w:rsid w:val="00D41ACE"/>
    <w:rsid w:val="00D72971"/>
    <w:rsid w:val="00D8043A"/>
    <w:rsid w:val="00DB6A50"/>
    <w:rsid w:val="00DC2700"/>
    <w:rsid w:val="00DC6803"/>
    <w:rsid w:val="00DD040E"/>
    <w:rsid w:val="00DF21CE"/>
    <w:rsid w:val="00E01009"/>
    <w:rsid w:val="00E40655"/>
    <w:rsid w:val="00E4385B"/>
    <w:rsid w:val="00E4469D"/>
    <w:rsid w:val="00E9305A"/>
    <w:rsid w:val="00E94415"/>
    <w:rsid w:val="00E97271"/>
    <w:rsid w:val="00EA0366"/>
    <w:rsid w:val="00EA5972"/>
    <w:rsid w:val="00EA63C7"/>
    <w:rsid w:val="00EC699C"/>
    <w:rsid w:val="00F05C1E"/>
    <w:rsid w:val="00F116D5"/>
    <w:rsid w:val="00F2261D"/>
    <w:rsid w:val="00F321A3"/>
    <w:rsid w:val="00F456AE"/>
    <w:rsid w:val="00F72F05"/>
    <w:rsid w:val="00F82FD7"/>
    <w:rsid w:val="00FB0382"/>
    <w:rsid w:val="00FB22C1"/>
    <w:rsid w:val="00FC06CC"/>
    <w:rsid w:val="00FC53EA"/>
    <w:rsid w:val="00FD3C3E"/>
  </w:rsids>
  <m:mathPr>
    <m:mathFont m:val="Cambria Math"/>
    <m:brkBin m:val="before"/>
    <m:brkBinSub m:val="--"/>
    <m:smallFrac m:val="0"/>
    <m:dispDef/>
    <m:lMargin m:val="0"/>
    <m:rMargin m:val="0"/>
    <m:defJc m:val="centerGroup"/>
    <m:wrapIndent m:val="1440"/>
    <m:intLim m:val="subSup"/>
    <m:naryLim m:val="undOvr"/>
  </m:mathPr>
  <w:themeFontLang w:val="en-US" w:eastAsia="x-none" w:bidi="ne-N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9B0503B"/>
  <w15:docId w15:val="{C45C0977-46D1-4492-8F42-ED9F320C2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05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0563"/>
  </w:style>
  <w:style w:type="paragraph" w:styleId="Footer">
    <w:name w:val="footer"/>
    <w:basedOn w:val="Normal"/>
    <w:link w:val="FooterChar"/>
    <w:uiPriority w:val="99"/>
    <w:unhideWhenUsed/>
    <w:rsid w:val="00D305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0563"/>
  </w:style>
  <w:style w:type="character" w:styleId="Hyperlink">
    <w:name w:val="Hyperlink"/>
    <w:basedOn w:val="DefaultParagraphFont"/>
    <w:unhideWhenUsed/>
    <w:rsid w:val="00930A4E"/>
    <w:rPr>
      <w:color w:val="0563C1" w:themeColor="hyperlink"/>
      <w:u w:val="single"/>
    </w:rPr>
  </w:style>
  <w:style w:type="paragraph" w:styleId="BalloonText">
    <w:name w:val="Balloon Text"/>
    <w:basedOn w:val="Normal"/>
    <w:link w:val="BalloonTextChar"/>
    <w:uiPriority w:val="99"/>
    <w:semiHidden/>
    <w:unhideWhenUsed/>
    <w:rsid w:val="005E3A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3A90"/>
    <w:rPr>
      <w:rFonts w:ascii="Tahoma" w:hAnsi="Tahoma" w:cs="Tahoma"/>
      <w:sz w:val="16"/>
      <w:szCs w:val="16"/>
    </w:rPr>
  </w:style>
  <w:style w:type="table" w:styleId="TableGrid">
    <w:name w:val="Table Grid"/>
    <w:basedOn w:val="TableNormal"/>
    <w:uiPriority w:val="59"/>
    <w:rsid w:val="005442BD"/>
    <w:pPr>
      <w:spacing w:after="0" w:line="240" w:lineRule="auto"/>
    </w:pPr>
    <w:rPr>
      <w:rFonts w:eastAsiaTheme="minorEastAsia"/>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rsid w:val="00AA21C5"/>
    <w:pPr>
      <w:spacing w:after="0" w:line="240" w:lineRule="auto"/>
      <w:ind w:left="720"/>
      <w:contextualSpacing/>
    </w:pPr>
    <w:rPr>
      <w:rFonts w:ascii="Verdana" w:eastAsia="Times New Roman" w:hAnsi="Verdana" w:cs="Times New Roman"/>
      <w:sz w:val="20"/>
      <w:szCs w:val="20"/>
      <w:lang w:val="de-AT"/>
    </w:rPr>
  </w:style>
  <w:style w:type="table" w:customStyle="1" w:styleId="TableGrid1">
    <w:name w:val="Table Grid1"/>
    <w:basedOn w:val="TableNormal"/>
    <w:next w:val="TableGrid"/>
    <w:uiPriority w:val="39"/>
    <w:rsid w:val="009A1D19"/>
    <w:pPr>
      <w:spacing w:after="140" w:line="290" w:lineRule="auto"/>
    </w:pPr>
    <w:rPr>
      <w:rFonts w:ascii="Times New Roman" w:eastAsia="SimSu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ospectus-Bodytext">
    <w:name w:val="Prospectus - Body text"/>
    <w:basedOn w:val="Normal"/>
    <w:link w:val="Prospectus-BodytextChar"/>
    <w:qFormat/>
    <w:rsid w:val="009A1D19"/>
    <w:pPr>
      <w:spacing w:before="120" w:after="0" w:line="264" w:lineRule="auto"/>
      <w:jc w:val="both"/>
    </w:pPr>
    <w:rPr>
      <w:rFonts w:ascii="Times New Roman" w:eastAsia="Times New Roman" w:hAnsi="Times New Roman" w:cs="Times New Roman"/>
      <w:kern w:val="20"/>
      <w:sz w:val="20"/>
      <w:lang w:val="en-GB"/>
    </w:rPr>
  </w:style>
  <w:style w:type="character" w:customStyle="1" w:styleId="Prospectus-BodytextChar">
    <w:name w:val="Prospectus - Body text Char"/>
    <w:basedOn w:val="DefaultParagraphFont"/>
    <w:link w:val="Prospectus-Bodytext"/>
    <w:rsid w:val="009A1D19"/>
    <w:rPr>
      <w:rFonts w:ascii="Times New Roman" w:eastAsia="Times New Roman" w:hAnsi="Times New Roman" w:cs="Times New Roman"/>
      <w:kern w:val="20"/>
      <w:sz w:val="20"/>
      <w:lang w:val="en-GB"/>
    </w:rPr>
  </w:style>
  <w:style w:type="paragraph" w:customStyle="1" w:styleId="Default">
    <w:name w:val="Default"/>
    <w:rsid w:val="00D22149"/>
    <w:pPr>
      <w:autoSpaceDE w:val="0"/>
      <w:autoSpaceDN w:val="0"/>
      <w:adjustRightInd w:val="0"/>
      <w:spacing w:after="0" w:line="240" w:lineRule="auto"/>
    </w:pPr>
    <w:rPr>
      <w:rFonts w:ascii="Arial" w:hAnsi="Arial" w:cs="Arial"/>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8065021">
      <w:bodyDiv w:val="1"/>
      <w:marLeft w:val="0"/>
      <w:marRight w:val="0"/>
      <w:marTop w:val="0"/>
      <w:marBottom w:val="0"/>
      <w:divBdr>
        <w:top w:val="none" w:sz="0" w:space="0" w:color="auto"/>
        <w:left w:val="none" w:sz="0" w:space="0" w:color="auto"/>
        <w:bottom w:val="none" w:sz="0" w:space="0" w:color="auto"/>
        <w:right w:val="none" w:sz="0" w:space="0" w:color="auto"/>
      </w:divBdr>
    </w:div>
    <w:div w:id="2003849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purcari.wine"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549</Words>
  <Characters>3132</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Interpublic</Company>
  <LinksUpToDate>false</LinksUpToDate>
  <CharactersWithSpaces>3674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Filipovici, Silviu (BCH-MEW)</dc:creator>
  <cp:lastModifiedBy>Microsoft Office User</cp:lastModifiedBy>
  <cp:revision>2</cp:revision>
  <cp:lastPrinted>2018-02-06T08:08:00Z</cp:lastPrinted>
  <dcterms:created xsi:type="dcterms:W3CDTF">2018-02-15T11:00:00Z</dcterms:created>
  <dcterms:modified xsi:type="dcterms:W3CDTF">2018-02-15T11:00:00Z</dcterms:modified>
</cp:coreProperties>
</file>